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B15" w:rsidRDefault="00BD74E4">
      <w:r>
        <w:t>采购清单</w:t>
      </w:r>
    </w:p>
    <w:tbl>
      <w:tblPr>
        <w:tblW w:w="526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758"/>
        <w:gridCol w:w="4005"/>
        <w:gridCol w:w="616"/>
        <w:gridCol w:w="568"/>
        <w:gridCol w:w="1324"/>
      </w:tblGrid>
      <w:tr w:rsidR="00150FBB" w:rsidRPr="003C62FD" w:rsidTr="00D9153A">
        <w:trPr>
          <w:trHeight w:val="710"/>
          <w:tblHeader/>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序号</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标的名称</w:t>
            </w:r>
          </w:p>
        </w:tc>
        <w:tc>
          <w:tcPr>
            <w:tcW w:w="2230"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技术要求</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单位</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数量</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是否属于集采目录内产品</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物理实验室1</w:t>
            </w:r>
          </w:p>
        </w:tc>
        <w:tc>
          <w:tcPr>
            <w:tcW w:w="2230"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直流电流表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产品由测量机构、外壳等组成。外壳采用阻燃ABS材质。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1.指示面板与水平面成45度夹角。</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2.测量范围：（-0.2A~0~0.6A）（-1~0~3A）。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3.仪表准确度等级：2.5级。</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4.对外界磁场的防御等级为Ⅲ级。</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60</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直流电压表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产品由测量机构、外壳等组成。外壳采用阻燃ABS材质。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1.指示面板与水平面成45度夹角。</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2.测量范围：（-1~0~3V）（-5~0~15V）。</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3.仪表准确度等级：2.5级。</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4.对外界磁场的防御等级为Ⅲ级。</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60</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洛伦兹力演示器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1.功能：用于理论模型的验证和精度测试,也可以帮助研究者更好地理解与研究磁场、电场等物理现象。</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2.外壳采用塑料材质，组件需至少包含：</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w:t>
            </w:r>
            <w:r>
              <w:rPr>
                <w:rFonts w:asciiTheme="minorEastAsia" w:hAnsiTheme="minorEastAsia" w:cs="宋体" w:hint="eastAsia"/>
                <w:kern w:val="0"/>
                <w:sz w:val="24"/>
                <w:szCs w:val="24"/>
              </w:rPr>
              <w:t>）</w:t>
            </w:r>
            <w:r w:rsidRPr="003C62FD">
              <w:rPr>
                <w:rFonts w:asciiTheme="minorEastAsia" w:hAnsiTheme="minorEastAsia" w:cs="宋体" w:hint="eastAsia"/>
                <w:kern w:val="0"/>
                <w:sz w:val="24"/>
                <w:szCs w:val="24"/>
              </w:rPr>
              <w:t>电源开关</w:t>
            </w:r>
            <w:r>
              <w:rPr>
                <w:rFonts w:asciiTheme="minorEastAsia" w:hAnsiTheme="minorEastAsia" w:cs="宋体" w:hint="eastAsia"/>
                <w:kern w:val="0"/>
                <w:sz w:val="24"/>
                <w:szCs w:val="24"/>
              </w:rPr>
              <w:t>K1</w:t>
            </w:r>
          </w:p>
          <w:p w:rsidR="00150FBB" w:rsidRDefault="00150FBB" w:rsidP="007959CB">
            <w:pPr>
              <w:widowControl/>
              <w:jc w:val="left"/>
              <w:rPr>
                <w:rFonts w:asciiTheme="minorEastAsia" w:hAnsiTheme="minorEastAsia" w:cs="宋体"/>
                <w:kern w:val="0"/>
                <w:sz w:val="24"/>
                <w:szCs w:val="24"/>
              </w:rPr>
            </w:pPr>
            <w:r>
              <w:rPr>
                <w:rFonts w:asciiTheme="minorEastAsia" w:hAnsiTheme="minorEastAsia" w:cs="宋体"/>
                <w:kern w:val="0"/>
                <w:sz w:val="24"/>
                <w:szCs w:val="24"/>
              </w:rPr>
              <w:t>2</w:t>
            </w:r>
            <w:r>
              <w:rPr>
                <w:rFonts w:asciiTheme="minorEastAsia" w:hAnsiTheme="minorEastAsia" w:cs="宋体" w:hint="eastAsia"/>
                <w:kern w:val="0"/>
                <w:sz w:val="24"/>
                <w:szCs w:val="24"/>
              </w:rPr>
              <w:t>）</w:t>
            </w:r>
            <w:r w:rsidRPr="003C62FD">
              <w:rPr>
                <w:rFonts w:asciiTheme="minorEastAsia" w:hAnsiTheme="minorEastAsia" w:cs="宋体" w:hint="eastAsia"/>
                <w:kern w:val="0"/>
                <w:sz w:val="24"/>
                <w:szCs w:val="24"/>
              </w:rPr>
              <w:t>直流电源接线柱</w:t>
            </w:r>
          </w:p>
          <w:p w:rsidR="00150FBB" w:rsidRDefault="00150FBB" w:rsidP="007959CB">
            <w:pPr>
              <w:widowControl/>
              <w:jc w:val="left"/>
              <w:rPr>
                <w:rFonts w:asciiTheme="minorEastAsia" w:hAnsiTheme="minorEastAsia" w:cs="宋体"/>
                <w:kern w:val="0"/>
                <w:sz w:val="24"/>
                <w:szCs w:val="24"/>
              </w:rPr>
            </w:pPr>
            <w:r>
              <w:rPr>
                <w:rFonts w:asciiTheme="minorEastAsia" w:hAnsiTheme="minorEastAsia" w:cs="宋体"/>
                <w:kern w:val="0"/>
                <w:sz w:val="24"/>
                <w:szCs w:val="24"/>
              </w:rPr>
              <w:t>3）</w:t>
            </w:r>
            <w:r w:rsidRPr="003C62FD">
              <w:rPr>
                <w:rFonts w:asciiTheme="minorEastAsia" w:hAnsiTheme="minorEastAsia" w:cs="宋体" w:hint="eastAsia"/>
                <w:kern w:val="0"/>
                <w:sz w:val="24"/>
                <w:szCs w:val="24"/>
              </w:rPr>
              <w:t>电源指示灯</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w:t>
            </w:r>
            <w:r>
              <w:rPr>
                <w:rFonts w:asciiTheme="minorEastAsia" w:hAnsiTheme="minorEastAsia" w:cs="宋体" w:hint="eastAsia"/>
                <w:kern w:val="0"/>
                <w:sz w:val="24"/>
                <w:szCs w:val="24"/>
              </w:rPr>
              <w:t>）</w:t>
            </w:r>
            <w:r w:rsidRPr="003C62FD">
              <w:rPr>
                <w:rFonts w:asciiTheme="minorEastAsia" w:hAnsiTheme="minorEastAsia" w:cs="宋体" w:hint="eastAsia"/>
                <w:kern w:val="0"/>
                <w:sz w:val="24"/>
                <w:szCs w:val="24"/>
              </w:rPr>
              <w:t>液体电极插孔</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w:t>
            </w:r>
            <w:r>
              <w:rPr>
                <w:rFonts w:asciiTheme="minorEastAsia" w:hAnsiTheme="minorEastAsia" w:cs="宋体" w:hint="eastAsia"/>
                <w:kern w:val="0"/>
                <w:sz w:val="24"/>
                <w:szCs w:val="24"/>
              </w:rPr>
              <w:t>）</w:t>
            </w:r>
            <w:r w:rsidRPr="003C62FD">
              <w:rPr>
                <w:rFonts w:asciiTheme="minorEastAsia" w:hAnsiTheme="minorEastAsia" w:cs="宋体" w:hint="eastAsia"/>
                <w:kern w:val="0"/>
                <w:sz w:val="24"/>
                <w:szCs w:val="24"/>
              </w:rPr>
              <w:t>溶液电流转换开关K2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w:t>
            </w:r>
            <w:r>
              <w:rPr>
                <w:rFonts w:asciiTheme="minorEastAsia" w:hAnsiTheme="minorEastAsia" w:cs="宋体" w:hint="eastAsia"/>
                <w:kern w:val="0"/>
                <w:sz w:val="24"/>
                <w:szCs w:val="24"/>
              </w:rPr>
              <w:t>）</w:t>
            </w:r>
            <w:r w:rsidRPr="003C62FD">
              <w:rPr>
                <w:rFonts w:asciiTheme="minorEastAsia" w:hAnsiTheme="minorEastAsia" w:cs="宋体" w:hint="eastAsia"/>
                <w:kern w:val="0"/>
                <w:sz w:val="24"/>
                <w:szCs w:val="24"/>
              </w:rPr>
              <w:t>线圈电流转换开关K3套</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w:t>
            </w:r>
            <w:r>
              <w:rPr>
                <w:rFonts w:asciiTheme="minorEastAsia" w:hAnsiTheme="minorEastAsia" w:cs="宋体" w:hint="eastAsia"/>
                <w:kern w:val="0"/>
                <w:sz w:val="24"/>
                <w:szCs w:val="24"/>
              </w:rPr>
              <w:t>）</w:t>
            </w:r>
            <w:r w:rsidRPr="003C62FD">
              <w:rPr>
                <w:rFonts w:asciiTheme="minorEastAsia" w:hAnsiTheme="minorEastAsia" w:cs="宋体" w:hint="eastAsia"/>
                <w:kern w:val="0"/>
                <w:sz w:val="24"/>
                <w:szCs w:val="24"/>
              </w:rPr>
              <w:t>线圈电流表</w:t>
            </w:r>
          </w:p>
          <w:p w:rsidR="00150FBB" w:rsidRDefault="00150FBB" w:rsidP="007959CB">
            <w:pPr>
              <w:widowControl/>
              <w:jc w:val="left"/>
              <w:rPr>
                <w:rFonts w:asciiTheme="minorEastAsia" w:hAnsiTheme="minorEastAsia" w:cs="宋体"/>
                <w:kern w:val="0"/>
                <w:sz w:val="24"/>
                <w:szCs w:val="24"/>
              </w:rPr>
            </w:pPr>
            <w:r>
              <w:rPr>
                <w:rFonts w:asciiTheme="minorEastAsia" w:hAnsiTheme="minorEastAsia" w:cs="宋体"/>
                <w:kern w:val="0"/>
                <w:sz w:val="24"/>
                <w:szCs w:val="24"/>
              </w:rPr>
              <w:t>8</w:t>
            </w:r>
            <w:r>
              <w:rPr>
                <w:rFonts w:asciiTheme="minorEastAsia" w:hAnsiTheme="minorEastAsia" w:cs="宋体" w:hint="eastAsia"/>
                <w:kern w:val="0"/>
                <w:sz w:val="24"/>
                <w:szCs w:val="24"/>
              </w:rPr>
              <w:t>）</w:t>
            </w:r>
            <w:r w:rsidRPr="003C62FD">
              <w:rPr>
                <w:rFonts w:asciiTheme="minorEastAsia" w:hAnsiTheme="minorEastAsia" w:cs="宋体" w:hint="eastAsia"/>
                <w:kern w:val="0"/>
                <w:sz w:val="24"/>
                <w:szCs w:val="24"/>
              </w:rPr>
              <w:t>环形电极</w:t>
            </w:r>
          </w:p>
          <w:p w:rsidR="00150FBB" w:rsidRDefault="00150FBB" w:rsidP="007959CB">
            <w:pPr>
              <w:widowControl/>
              <w:jc w:val="left"/>
              <w:rPr>
                <w:rFonts w:asciiTheme="minorEastAsia" w:hAnsiTheme="minorEastAsia" w:cs="宋体"/>
                <w:kern w:val="0"/>
                <w:sz w:val="24"/>
                <w:szCs w:val="24"/>
              </w:rPr>
            </w:pPr>
            <w:r>
              <w:rPr>
                <w:rFonts w:asciiTheme="minorEastAsia" w:hAnsiTheme="minorEastAsia" w:cs="宋体"/>
                <w:kern w:val="0"/>
                <w:sz w:val="24"/>
                <w:szCs w:val="24"/>
              </w:rPr>
              <w:t>9)</w:t>
            </w:r>
            <w:r w:rsidRPr="003C62FD">
              <w:rPr>
                <w:rFonts w:asciiTheme="minorEastAsia" w:hAnsiTheme="minorEastAsia" w:cs="宋体" w:hint="eastAsia"/>
                <w:kern w:val="0"/>
                <w:sz w:val="24"/>
                <w:szCs w:val="24"/>
              </w:rPr>
              <w:t>溶液电流表</w:t>
            </w:r>
          </w:p>
          <w:p w:rsidR="00150FBB" w:rsidRDefault="00150FBB" w:rsidP="007959CB">
            <w:pPr>
              <w:widowControl/>
              <w:jc w:val="left"/>
              <w:rPr>
                <w:rFonts w:asciiTheme="minorEastAsia" w:hAnsiTheme="minorEastAsia" w:cs="宋体"/>
                <w:kern w:val="0"/>
                <w:sz w:val="24"/>
                <w:szCs w:val="24"/>
              </w:rPr>
            </w:pPr>
            <w:r>
              <w:rPr>
                <w:rFonts w:asciiTheme="minorEastAsia" w:hAnsiTheme="minorEastAsia" w:cs="宋体"/>
                <w:kern w:val="0"/>
                <w:sz w:val="24"/>
                <w:szCs w:val="24"/>
              </w:rPr>
              <w:t>10)</w:t>
            </w:r>
            <w:r w:rsidRPr="003C62FD">
              <w:rPr>
                <w:rFonts w:asciiTheme="minorEastAsia" w:hAnsiTheme="minorEastAsia" w:cs="宋体" w:hint="eastAsia"/>
                <w:kern w:val="0"/>
                <w:sz w:val="24"/>
                <w:szCs w:val="24"/>
              </w:rPr>
              <w:t>圆形盛液简</w:t>
            </w:r>
          </w:p>
          <w:p w:rsidR="00150FBB" w:rsidRDefault="00150FBB" w:rsidP="007959CB">
            <w:pPr>
              <w:widowControl/>
              <w:jc w:val="left"/>
              <w:rPr>
                <w:rFonts w:asciiTheme="minorEastAsia" w:hAnsiTheme="minorEastAsia" w:cs="宋体"/>
                <w:kern w:val="0"/>
                <w:sz w:val="24"/>
                <w:szCs w:val="24"/>
              </w:rPr>
            </w:pPr>
            <w:r>
              <w:rPr>
                <w:rFonts w:asciiTheme="minorEastAsia" w:hAnsiTheme="minorEastAsia" w:cs="宋体" w:hint="eastAsia"/>
                <w:kern w:val="0"/>
                <w:sz w:val="24"/>
                <w:szCs w:val="24"/>
              </w:rPr>
              <w:t>1</w:t>
            </w:r>
            <w:r>
              <w:rPr>
                <w:rFonts w:asciiTheme="minorEastAsia" w:hAnsiTheme="minorEastAsia" w:cs="宋体"/>
                <w:kern w:val="0"/>
                <w:sz w:val="24"/>
                <w:szCs w:val="24"/>
              </w:rPr>
              <w:t>1)</w:t>
            </w:r>
            <w:r w:rsidRPr="003C62FD">
              <w:rPr>
                <w:rFonts w:asciiTheme="minorEastAsia" w:hAnsiTheme="minorEastAsia" w:cs="宋体" w:hint="eastAsia"/>
                <w:kern w:val="0"/>
                <w:sz w:val="24"/>
                <w:szCs w:val="24"/>
              </w:rPr>
              <w:t>柱形电极</w:t>
            </w:r>
          </w:p>
          <w:p w:rsidR="00150FBB" w:rsidRPr="003C62FD" w:rsidRDefault="00150FBB" w:rsidP="007959CB">
            <w:pPr>
              <w:widowControl/>
              <w:jc w:val="left"/>
              <w:rPr>
                <w:rFonts w:asciiTheme="minorEastAsia" w:hAnsiTheme="minorEastAsia" w:cs="宋体"/>
                <w:kern w:val="0"/>
                <w:sz w:val="24"/>
                <w:szCs w:val="24"/>
              </w:rPr>
            </w:pPr>
            <w:r>
              <w:rPr>
                <w:rFonts w:asciiTheme="minorEastAsia" w:hAnsiTheme="minorEastAsia" w:cs="宋体" w:hint="eastAsia"/>
                <w:kern w:val="0"/>
                <w:sz w:val="24"/>
                <w:szCs w:val="24"/>
              </w:rPr>
              <w:t>1</w:t>
            </w:r>
            <w:r>
              <w:rPr>
                <w:rFonts w:asciiTheme="minorEastAsia" w:hAnsiTheme="minorEastAsia" w:cs="宋体"/>
                <w:kern w:val="0"/>
                <w:sz w:val="24"/>
                <w:szCs w:val="24"/>
              </w:rPr>
              <w:t>2)</w:t>
            </w:r>
            <w:r w:rsidRPr="003C62FD">
              <w:rPr>
                <w:rFonts w:asciiTheme="minorEastAsia" w:hAnsiTheme="minorEastAsia" w:cs="宋体" w:hint="eastAsia"/>
                <w:kern w:val="0"/>
                <w:sz w:val="24"/>
                <w:szCs w:val="24"/>
              </w:rPr>
              <w:t>电源线(AC 220V，50Hz)</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4</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透镜焦距的测量实验装置</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一、功能要求：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1.用自准法测薄凸透镜的焦距</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2.用贝塞耳法(两次成像法)测薄凸透镜焦距。</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二、参数要求：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1.光具座：长度≥1000mm，材料为6061铝合金（GB/T 3880系列标准），需具有优良平行度和刚度，可用于构</w:t>
            </w:r>
            <w:r w:rsidRPr="003C62FD">
              <w:rPr>
                <w:rFonts w:asciiTheme="minorEastAsia" w:hAnsiTheme="minorEastAsia" w:cs="宋体" w:hint="eastAsia"/>
                <w:kern w:val="0"/>
                <w:sz w:val="24"/>
                <w:szCs w:val="24"/>
              </w:rPr>
              <w:lastRenderedPageBreak/>
              <w:t>造稳定的刚性机械配件。可以安装卡入式导轨滑台，滑台固定前可沿着导轨面左右滑动。导轨标有激光刻度，用于精确放置光机械硬件。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2.金属滑台配套不少于4个，用于装卡各种调整架和光源。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3.金属调节架，装卡≥40mm透镜，拆卸方便。</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（1）材料：硬铝合金，需高强度耐热，内应力小；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（2）表面亚光处理，反射小；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（3）稳定旋钮，螺距≥0.25mm，调整精度高。</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4.配套≥190mm焦距透镜，透镜直径≥40mm，带金属框，可装卡在调节架子中。</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（1）材料：BK7；</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（2）焦距偏差：≤ 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（3）直径偏差：+0.0/-0.1mm;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（4）有效孔径：≥80%；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（5）偏心：≤3’；</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（6）表面质量：≤60/40；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5.光源：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（1）白光源，金属外框，带电源，最大功率35W，光谱范围200nm~2500nm。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6.白屏：金属材质，白色喷漆，带不锈钢支杆，直径10mm，装卡在滑台上。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7.物屏：金属材质，白色喷漆，带不锈钢支杆，直径10mm，装卡在滑台上。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8.含虚拟仿真教学软件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1）透镜焦距的测量实验现象仿真系统以三维模拟仿真技术呈现；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2）透镜焦距的测量仿真系统以三维模拟仿真技术呈现，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技术参数：能够通过三维仿真技术展示书籍中的重点知识原理，可实现光路的灵活设计调整，可展示出调整过程所产生的物理现象，并完成实验数据的测量，各模块涵盖光路核心组件的展示与功能介绍，更换组件后物理</w:t>
            </w:r>
            <w:r w:rsidRPr="003C62FD">
              <w:rPr>
                <w:rFonts w:asciiTheme="minorEastAsia" w:hAnsiTheme="minorEastAsia" w:cs="宋体" w:hint="eastAsia"/>
                <w:kern w:val="0"/>
                <w:sz w:val="24"/>
                <w:szCs w:val="24"/>
              </w:rPr>
              <w:lastRenderedPageBreak/>
              <w:t>现象的三维模拟，且可实现各光路部件的拆卸组装；</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3）实验器材导入方式：手动选取、自动导入,每导入一个实验器材都要三维展示出器材加入后正确的物理实验现象，且改变器材的位置对应实物理验现象要对应一致变化。</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30</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5</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干涉衍射实验装置</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一、功能要求：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1.杨氏双缝干涉、菲涅耳双棱镜干涉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2.夫琅禾费单缝衍射。</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二、参数要求：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1.光具座：长度≥1000mm，材料为6061铝合金（GB/T 3880系列标准），需具有优良平行度和刚度。可用于构造稳定的刚性机械配件。可以安装卡入式导轨滑台。滑台固定前可沿着导轨面左右滑动。导轨标有激光刻度，用于精确放置光机械硬件。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2.金属滑台配套不少于4个，用于装卡各种调整架和光源。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3.光源：钠光灯（20W）钠双线589.0nm、589.6nm光谱线作为标准波长用于波长标定，电子镇流器驱动；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输入电压：220VAC,50Hz/60Hz；光源外框需为金属材质，带有出光口和出光口挡板，外框可自由拆卸，便于更换钠灯灯管。</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4.透镜：焦距分别为≥50mm、≥150mm、≥300mm，带金属外框，直径≥40mm，可装卡在光学调整架上。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（1）材料：BK7；</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（2）焦距偏差：≤ 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（3）直径偏差：+0.0/-0.1mm;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（4）有效孔径：≥80%；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（5）偏心：≤3’；</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（6）表面质量：≤60/40；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5.单缝板：缝宽≥0.2mm，金属外框，直径≥40mm，可装卡在光学调整架上。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6.双缝片，金属材质，铝制外框，直接≥40mm，可装卡在光学调整架上。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7.金属调节架，装卡≥40mm透镜，拆卸方便。</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（1）材料：硬铝合金，需高强度耐热，内应力小；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（2）表面亚光处理，反射小；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（3）高稳定旋钮，螺距≥0.25mm，调整精度高。</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8.测微目镜架，装卡测微目镜</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（1）材料：硬铝合金，需高强度耐热，内应力小；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（2）表面亚光处理，反射小；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9.读数显微镜：金属套筒，测量范围不小于0-6mm，放大倍数≥20倍，分度值≤0.01mm。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10.镜片调节架：固定双缝片、透镜等光学元件，金属材质，可做二维调节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（1）材料：硬铝合金，需高强度耐热，内应力小；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（2）表面亚光处理；</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11.含物理光学虚拟仿真教学软件</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30</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6</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牛顿第三定律实验器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1.组成：需由铝合金支架、高强度底座、PC材质注射器和快速响应温度探头组成。</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2.功能：支持配合温度传感器，研究气体压缩或膨胀时，温度的变化。</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压缩气体做功实验器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1.组成：需由铝合金底座、PC材质注射器和快速响应温度探头组成。</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2.功能：支持配合温度传感器，研究气体压缩或膨胀时，温度的变化。</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8</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水凝固与冰熔化实验器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1.由凝霜专用支架、测温摄像一体机、凝霜罐等构成。温度测量范围：-30℃~+120℃，分度：0.1℃；摄像头参数：800万像素，自动对焦。</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功能：能快速制冷或加热，实现水冰互换。支持与温度传感器配合使用，既可以直观的观察到水结成冰以及冰融化为水的物理现象，又可以测量绘制出冰水互相转换过程中的温度变化曲线，清晰的展示出冰水互变时的物理规律。</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9</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液体吸热研究实验器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1.组成：需由亚克力支架系统、硅胶密封系统、测量系统构成</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2.功能：支持配合两只温度传感器探头，可对比观察不同溶液在升高或下降单位温度时所吸收或放出的热量。</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10</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固体熔化时温度的变化规律实验器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1.组成：需由透明材质隔热容器，加热设备，搅拌设备，不锈钢支架系统构成。</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2.支持配合温度传感器和高温传感器使用。可观察不同固体融化时温度的变化规律。</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11</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电阻定律实验器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1.组成：需由木制底座、刻度板面膜、接线排端子、不锈钢锁扣、橡胶脚垫、直径不同的黄铜、铁铬、镍铬五种金属丝构成，</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2.功能：支持配合多量程电流传感器和多量程电压传感器使用，可研究导体的电阻与长度、横截面积、材料的关系。</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30</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12</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阿基米德原理实验器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1.组成：需由不锈钢无级调节升降台、塑料烧杯、铝合金专用物块、铝合金水平杆、十字转接器及塑帽螺栓构成，专用物块由≥5只体积为≥ 15cm3的小物块用细杆连接而成。</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2.功能：支持配合铁架台及力传感器使用，可观察物块进出水时力的变化规律。</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13</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估测大气压强实验器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1.组成：需由PC针筒、针筒后盖、堵头、推拉杆、硅胶垫圈构成，</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2.功能：支持配合力传感器使用。通过拉动针筒，计算大气压作用在针筒活塞横截面上的压力。估测大气压强</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14</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沸点与压强关系实验器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1.组成：PVC气路组件、螺口锥形烧瓶（≥250mL）、铁圈（φ≥100mm）、石棉网、铁质镀膜烧瓶夹、PC烧瓶夹固定块（转接头）、软管固定组件、不锈钢酒精灯。</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2.支持配合温度传感器和压强传感器，研究液体沸点与压强变化之间的关系</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15</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焦耳定律实验器（初中）</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1.需由三个PC材质量热器、电路板、定值电阻组成。</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2.每个量热器内配置不同阻值电阻，可搭建出相同电流、不同电阻及相同电阻、不同电流的电路，支持与温度传感器配合使用，研究电流的热效应与电流、电阻的关系。</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16</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平抛运动实验器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1.需由铝合金座架、铝合金支架、铝合金平抛轨道、PC光电门支架、内置式触碰传感器、铁制小球、标尺游标、磁性回收器等组成。</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2.支持与光电门传感器配合，可测量平抛运动小球的初速度、运行时间与水平距离。</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30</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17</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简谐振动演示仪</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1.原理：利用激光通过振动弹片反射镜投影在光屏上所形成正弦余弦的规律变化。</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2.产品由塑料框架主体、激光源、振动弹片、入射光屏、电机、反射镜及支架等组成。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3.塑料框架主体由框架、上板为白色塑料、下板为密度板，所有装置装在上板面上。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4.激光源为红色，在上板的相应位置，并有可调范围。</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5.振动弹片为表磷铜，长为≥100mm、宽≥12mm、厚≥0.3mm，固定可靠，振动灵活。</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6.入射光屏为六棱柱体，每面有平面镜，Φ60mm、高80mm。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7.电机为直流低速电机，每分钟100转。</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8.反射镜及支架应为一体。</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18</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横纵波演示仪</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1.物理演示纵横波的传播、反射等；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2.仪器采用支架悬挂弹簧形式，全长≥100cm、≥Φ50mm螺旋弹簧自由悬挂在支架上，振源金属球可上下调节，整套仪器包括机架1个（螺旋弹簧1支、振源2只）；</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3.连接杆≥15个；反光白布1块；可拆卸后装入40×35×15cm的纸箱内。</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19</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衍射光强实验系统</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一、功能要求：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1.测绘夫朗禾费单缝、多缝、圆孔等衍射光强分布图。</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2.测量单缝衍射的光强分布，确定各衍射峰位置，计算单缝宽度。</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二、参数要求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1.光源：半导体激光器，≥650nm，功率≥5mW，金属外框，带电源。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2.光具座：长度≥1000mm，材料为6061铝合金（GB/T 3880系列标准），具有优良的平行度和刚度。可用于构造稳定的刚性机械配件。可以安装卡入式导轨滑台。滑台固定前可沿着导轨面左右滑动。导轨标有激光刻度，用于精确放置光机械硬件。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3.金属滑台配套≥4个，用于装卡各种调整架和光源。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4.透镜：f'=6.2，≥150mm，带金属外框，直径≥40mm，可装卡在光学调整架上。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（1）材料：BK7；</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（2）焦距偏差：≤ 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（3）直径偏差：+0.0/-0.1mm;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（4）有效孔径：≥80%；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（5）偏心：≤3’；</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（6）表面质量：≤60/40；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5.透射光栅：≥20l/m，金属外框，可装卡在调节架上。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6.金属调节架，装卡≥40mm透镜，拆卸方便。</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（1）材料：硬铝合金，需高强度耐热，内应力小；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（2）表面亚光处理；</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（3）高稳定旋钮，螺距≥0.25mm，调整精度高。</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7.干版架，金属材质，黑色喷漆，螺丝调节装卡距离，用于片状材质的装卡，搭配在整体光路上。带不锈钢支杆，直径10mm。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8.可调狭缝：金属外壳，狭缝可在光具座上装卡，支持随意调节。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9.多孔多缝板：铬板，四种缝数：2，3，4，5；装卡在干版架上。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10.白屏：金属材质，带不锈钢支杆，直径≥10mm，装卡在滑台上。</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11.光电流放大器：数字显示，带光电探头，用于衍射光强的测量。</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lastRenderedPageBreak/>
              <w:t xml:space="preserve">　</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物理实验室2</w:t>
            </w:r>
          </w:p>
        </w:tc>
        <w:tc>
          <w:tcPr>
            <w:tcW w:w="2230"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20</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偏振光实验系统</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一、功能要求：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1.验证马吕斯定律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2.二分之一波片，四分之一波片，圆偏振和椭圆偏振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二、参数要求：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1.光源：氦氖激光器，长≥220mm，功率≥1.5mW，包括电源，作为光源使用；作为一种单一波长的光源，可用于几何光学、干涉、衍射等光学实验。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波长:632.8nm;TEM00模，功率1.5~2.0mW，直流稳压电源供电保证功率稳定性，防止光斑闪耀，工作电流4.2mA。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2.偏振片：金属外框，≥40mm外框。装卡在调节架上。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二分之一波片：金属外框，装卡在调节架上。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四分之一波片：金属外框，装卡在调节架上。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（1）材料：BK7；</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（2）焦距偏差：≤ 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（3）直径偏差：+0.0/-0.1mm;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（4）有效孔径：≥80%；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（5）偏心：≤3’；</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（6）表面质量：≤60/40；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3.光具座：长度≥1000mm，材料为6061铝合金（GB/T 3880系列标准），具有优良的平行度和刚度。可用于构造稳定的刚性机械配件。可以安装卡入式导轨滑台。滑台固定前可沿着导轨面左右滑动。导轨标有激光刻度，用于精确放置光机械硬件。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4.光电流放大器：带硅光电池探测器，数字显示。</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5.金属调节架，装卡≥40mm透镜，拆卸方便。</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（1）材料：硬铝合金，需高强度耐热，内应力小；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（2）表面亚光处理；</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（3）稳定旋钮，螺距≥0.25mm。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6.光源二维调整架：金属材质，带不锈钢支杆，可装卡管状φ10mm ～φ50mm，且有俯仰、回转调节。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7.旋转透镜架：金属材质，带不锈钢支杆，用于装卡二分之一波片、四分之一波片等。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8.包含偏振光虚拟仿真软件：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1）偏振光实验现象仿真系统以三维模拟仿真技术呈现；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2）偏振光实验仿真系统以三维模拟仿真技术呈现，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技术参数：能够通过三维仿真技术展示书籍中的重点知识原理，可实现光路的灵活设计调整，可展示出调整过程所产生的物理现象，并完成实验数据的测量，各模块涵盖光路核心组件的展示与功能介绍，更换组件后物理现象的三维模拟，且可实现各光路部件的拆卸组装；</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3）实验器材导入方式：手动选取、自动导入,每导入一个实验器材都要三维展示出器材加入后正确的物理实验现象，且改变器材的位置对应实物理验现象要对应一致变化。</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21</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牛顿环实验装置</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一、功能要求：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1.观测牛顿环干涉现象</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2.用牛顿环测量曲率半径</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二、参数要求：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1.钠灯：低压钠灯，功率≤20W，可发射波长589.3mm黄光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钠双线589.0nm、589.6nm光谱线作为标准波长用于波长标定，也可作分辨率调整的标准检测设备。当研究钠</w:t>
            </w:r>
            <w:r w:rsidRPr="003C62FD">
              <w:rPr>
                <w:rFonts w:asciiTheme="minorEastAsia" w:hAnsiTheme="minorEastAsia" w:cs="宋体" w:hint="eastAsia"/>
                <w:kern w:val="0"/>
                <w:sz w:val="24"/>
                <w:szCs w:val="24"/>
              </w:rPr>
              <w:lastRenderedPageBreak/>
              <w:t>光谱时，可提供多种钠谱线。</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电子镇流器驱动，输入电压:220VAC，50Hz/60Hz输出功率:20W~50W</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2.低压钠灯光源：注塑模块化电源，电子镇流器。输入电压:220V，50Hz。</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3.牛顿环：牛顿环平凸透镜</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（1）材料：BK7；</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（2）焦距偏差：≤ 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（3）直径偏差：+0.0/-0.1mm;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（4）有效孔径：≥80%；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（5）偏心：≤3’；</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（6）表面质量：≤60/40；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4.读数显微镜：放大率：≥20倍，分划板测量范围≥6mm，测量精度：≤0.01mm，金属材质。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5.光学镜头：材料：BK7，表面质量≥：60/40；半径偏差：≤±2%</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6.含对比实验虚拟教学软件</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22</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数据采集器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1.功能：与计算机USB通讯模块化设计，配合传感器使用，实现数据有线/无线传输。</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2.面板为透明PC材质，需标有产品名称、型号等，标记清晰。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3.包含数据采集和有线接口两部分。有线接口与数据采集采用高速接口连接，以保证数据传输速率高；</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4.工艺：外壳采用透明PC材质注塑工艺一次成型、组装，内含状态、电源指示灯。</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5.与计算机USB接口通讯，无须外接电源；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6.全数字通道，每个数据通道最大采样速率≥20KHz，可同时连接至少10个声波/声级传感器测量声音波形。</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7.有线接口采用自锁接口，可以防止传感器测量系统脱落保证数据传输稳定；</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8.可根据实验教学需要，选择接插有线接口或无线接收实现与传感器测量系统通讯；支持有线/无线状态下的四通道并行采集，支持热插拔连</w:t>
            </w:r>
            <w:r w:rsidRPr="003C62FD">
              <w:rPr>
                <w:rFonts w:asciiTheme="minorEastAsia" w:hAnsiTheme="minorEastAsia" w:cs="宋体" w:hint="eastAsia"/>
                <w:kern w:val="0"/>
                <w:sz w:val="24"/>
                <w:szCs w:val="24"/>
              </w:rPr>
              <w:lastRenderedPageBreak/>
              <w:t>接；</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9.支持数据采集器级联，可以实现不少于12套数据采集器同时连接电脑使用。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10.可在低温环境（温度≤-8℃，保持时间≥4h）；高温环境（温度≥45℃，保持时间≥4h）；湿热环境（温度≥38℃，湿度≥90%RH，保持时间≥12h）环境中正常运行。</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11.规格：≤75mm*110mm*25mm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23</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数字化实验系统</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1、需包含通用软件、物理专用软件、化学专用软件、生物专用软件、校准软件、数据导入软件。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2、理化生专用软件需由系列独立软件组成，每个独立软件针对某个（类）实验过程进行固化设计，特点。</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通用软件需为中文简体界面；接入传感器后能自动识别和运行；数字表、模拟表、示波器三种显示方式：实时显示实验数据或曲线；具备多种实验数据的分析工具；采集频率可调；实验模板设定；数据表格、实验数据可以导出为文本格式；实验曲线可导出为图片格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4、软件自带实验录像功能，能同时记录数据、图像的变化和实验小组成员的实物操作情况并存储到计算机指定位置。</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5、应用平台：全平台兼容。</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24</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电压传感器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1.功能：测量电路中电压的大小及方向，具有硬件调零功能。配合数字化实验系统，用于验证欧姆定律、测量电源电动势及内阻、小灯泡 U- I 特性曲线、原电池研究。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2.测量范围≥-20V~+20V；分度≤0.01V；</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3.工艺：外壳采用透明PC材质注塑工艺一次成型、组装；</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4.具有硬件调零按钮。也可进行软件调零；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5.支持与采集器的有线通讯、无线通</w:t>
            </w:r>
            <w:r w:rsidRPr="003C62FD">
              <w:rPr>
                <w:rFonts w:asciiTheme="minorEastAsia" w:hAnsiTheme="minorEastAsia" w:cs="宋体" w:hint="eastAsia"/>
                <w:kern w:val="0"/>
                <w:sz w:val="24"/>
                <w:szCs w:val="24"/>
              </w:rPr>
              <w:lastRenderedPageBreak/>
              <w:t>讯和独立数据显示三种工作方式。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6.可在windows、iOS和安卓平台进行使用。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7.规格：≤85mm*45mm*25mm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14</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25</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电流传感器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1.功能：测量电路中电流的大小及方向，支持硬件调零。配合数字化实验系统，用于验证欧姆定律、小灯泡U-I 特性曲线、电池电动势和内阻的测量、熔融硝酸钾导电实验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2.测量范围≥-3A~+3A；分度≤0.01A，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3.工艺：外壳采用透明PC材质注塑工艺一次成型、组装；</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4.具有硬件调零按钮。也可进行软件调零；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5.支持与采集器的有线通讯、无线通讯和独立数据显示三种工作方式。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6.可在windows、iOS和安卓平台进行使用。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7.规格：≤85mm*45mm*25mm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26</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磁感应强度传感器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1.功能：测量空间某处磁感应强度大小，探管式结构，敏感器件位于探管顶端，具有硬件调零功能。配合数字化实验系统，用于验证欧姆定律、小灯泡U-I 特性曲线、电池电动势和内阻的测量、熔融硝酸钾导电实验。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2.测量范围≥-15mT~+15mT；分度≤0.01 mT；</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3.外壳采用透明PC材质注塑工艺一次成型、组装，需标有产品名称、型号等，标记清晰。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4.采用BT通讯接口，采用高速自锁接口，支持热插拔；</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5.支持与有线通讯、无线通讯和数据显示三种工作方式；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6.可在windows、iOS和安卓平台进行使用。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7.传感器预留开孔或螺丝孔，可用于固定传感器。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8.可在低温环境（温度≤-8℃，保持时间≥4h）；高温环境（温度≥45℃，</w:t>
            </w:r>
            <w:r w:rsidRPr="003C62FD">
              <w:rPr>
                <w:rFonts w:asciiTheme="minorEastAsia" w:hAnsiTheme="minorEastAsia" w:cs="宋体" w:hint="eastAsia"/>
                <w:kern w:val="0"/>
                <w:sz w:val="24"/>
                <w:szCs w:val="24"/>
              </w:rPr>
              <w:lastRenderedPageBreak/>
              <w:t>保持时间≥4h）；湿热环境（温度≥38℃，湿度≥90%RH，保持时间≥12h）环境中正常运行。</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9.规格：≤85mm*45mm*25mm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27</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力传感器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1.功能：测量拉力或压力，拉力读数为正值，压力读数为负值，支持硬件调零。配合数字化实验系统，研究影响滑动摩擦力大小的因素、探究二力平衡的条件、验证牛顿第三定律、力的合成与分解、超重失重。</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2.测量范围≥-50N~+50N；分度≤0.01N；用于测拉力（显示正值）和压力（显示负值），手柄式结构；</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3.外壳采用透明PC材质注塑工艺一次成型、组装，需标有产品名称、型号等，标记清晰；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4.采用BT通讯接口，采用定向自锁接口。</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5.支持与有线通讯、无线通讯和数据显示三种工作方式；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6.可在windows、iOS和安卓平台进行使用。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7.传感器预留开孔或螺丝孔，可用于固定传感器。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8.规格：≤100mm*52mm*25mm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14</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28</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温度传感器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1.功能：测量物体的温度。手柄探针式结构。配合数字化实验系统，研究中和热的测定、溶解时的吸热或放热现象、种子萌发过程中温度的变化。</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2.测量范围≥-50℃~+200℃；分度≤0.1℃；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3.面板为透明PC材质，需标有产品名称、型号等，标记清晰。；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4.采用BT通讯接口，采用定向自锁接口。</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5.支持与有线通讯、无线通讯和数据显示三种工作方式；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6.可在windows、iOS和安卓平台进行使用。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7.传感器预留开孔或螺丝孔，可用于固定传感器。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8.规格：≤85mm*45mm*25mm</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9.电路分体式结构:采用独立温度测量端、用于测量待测物温度。</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29</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位移传感器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1.功能：配合数字化实验系统，可反映被测物的微小位置变化。用于各类与微小位置变化有关的高精度实验。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2.测量范围≥0.15m~6m，分度≤1mm；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3.外壳采用透明PC材质注塑工艺一次成型、组装，需标有产品名称、型号等，标记清晰；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4.采用BT通讯接口，采用高速自锁接口，支持热插拔；</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5.支持与有线通讯、无线通讯和数据显示三种工作方式；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6.可在windows、iOS和安卓平台进行使用。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7.传感器预留开孔或螺丝孔，可用于固定传感器。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8.规格：≤90mm*86mm*30mm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30</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光电门传感器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可用于测量运动物体的挡光时间，单摆周期和挡光次数。另外，还需支持测量通过两个光电门传感器之间的时间间隔。配合数字化实验系统，可进行瞬时速度的测定、用光电门传感器测自由落体的加速度、研究机械能守恒定律、研究动生电动势与运动速度的关系、用单摆测重力加速度。</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2.分度≤2μS；用于测量挡光片（U型、I型）的挡光时间；</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3.通讯接口具有方向性和自锁功能，支持热插拔；</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4.可与无线传输模块自由组合，支持热插拔。</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5.可在windows、iOS和安卓平台进行使用。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6.可在低温环境（温度≤-8℃，保持时间≥4h）；高温环境（温度≥45℃，保持时间≥4h）；湿热环境（温度≥38℃，湿度≥90%RH，保持时间≥12h）环境中正常运行。</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7.规格：≤80mm*80mm*20mm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14</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31</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声波传感器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1.功能：能测量声音的波形，研究声音的频率、周期、振幅等特征；</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2.频率测量范围≥20Hz~20kHz，声级测量范围≥20 dB ~120dB，分度≤0.1dB.</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3.外壳采用透明PC材质注塑工艺一次成型、组装，需标有产品名称、型号等，标记清晰；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4.采用BT通讯接口，采用定向自锁接口。</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5.支持与有线通讯、无线通讯和数据显示三种工作方式；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6.可在windows、iOS和安卓平台进行使用。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7.传感器预留开孔或螺丝孔，可用于固定传感器。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8.规格：≤80mm*45mm*25mm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32</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分体式位移传感器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1.功能：配合数字化实验系统，研究匀速直线运动、从v-t 图求加速度、用位移传感器研究自由落体运动、简谐振动中振子位移与弹簧受力关系研究、电磁阻尼；</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2.测量范围≥0cm~200cm，分度≤1mm，无测量盲区；</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3.外壳采用透明PC材质注塑工艺一次成型、组装，需标有产品名称、型号等，标记清晰；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4.采用BT通讯接口，采用高速自锁接口，支持热插拔；</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5.支持与有线通讯、无线通讯和数据显示三种工作方式；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6.可在windows、iOS和安卓平台进行使用。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7.传感器预留开孔或螺丝孔，可用于固定传感器。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8.规格：主体≤80mm*50mm*25mm 接收≤85mm*50mm*25mm </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139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33</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快速温度传感器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1.功能：快速测量物体的温度。敏感器件位于最前端，响应迅速。配合数字化实验系统，压缩气体做功、验证查理定律、探究人体出汗与体温调节的关系</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2.测量范围≥-20℃~+130℃；分度≤0.1℃；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3.外壳采用透明PC材质注塑工艺一次成型、组装，需标有产品名称、型号等，标记清晰；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4.采用BT通讯接口，采用高速自锁接口，支持热插拔；</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5.支持与有线通讯、无线通讯和数据显示三种工作方式；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6.可在windows、iOS和安卓平台进行使用。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7.传感器预留开孔或螺丝孔，可用于固定传感器。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8.规格：≤80mm*45mm*25mm </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34</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附件</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1.传感器实验所需配件。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2.含USB通讯线≥1条、转接器≥4只、传感器线≥4条。</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3.传感器连接线具有方向性和自锁功能，插接方便、配合严密、不易脱落、方便教学。</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14</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35</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数据显示模块</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1.数据显示模块自带≥1.7吋彩色显示屏，内置锂电池供电，与传感器组合使用并显示传感器所测数据；</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2.数据显示模块自带蓝牙ID，通过自带屏幕显示蓝牙对应的二维码；</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3.可以通过无线方式连接手机或平板电脑，实时显示数据，并通过表格、图线的方式进行数据分析和存储；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4.可以通过有线方式将存储数据上传到计算机；</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5.配备充电线，直接连接传感器无线发射模块或显示模块进行充电，一端为usb接口另一端为micro usb接口。</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6、可在低温环境（温度≤-8℃，保持时间≥4h）；高温环境（温度≥45℃，保持时间≥4h）；湿热环境（温</w:t>
            </w:r>
            <w:r w:rsidRPr="003C62FD">
              <w:rPr>
                <w:rFonts w:asciiTheme="minorEastAsia" w:hAnsiTheme="minorEastAsia" w:cs="宋体" w:hint="eastAsia"/>
                <w:kern w:val="0"/>
                <w:sz w:val="24"/>
                <w:szCs w:val="24"/>
              </w:rPr>
              <w:lastRenderedPageBreak/>
              <w:t>度≥38℃，湿度≥90%RH，保持时间≥12h）环境中正常运行。</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36</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铝合金箱</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1.需由铝合金主架、铝塑板面构成，内设隔断海棉内衬。</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2.规格尺寸≥510mm*340mm*180mm。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37</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多用力学轨道系统</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1.配合力传感器、位移传感器、光电门传感器等使用，可完成全国教材规定的运动学实验。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2.规格：轨道长度≥1200mm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至少包含：不小于1.2m黑色强化铝合金轨道1条、轨道小车2辆、弹簧2条、固定柱2只、50克配重片4片、5克配重块4只、沙桶1只、挡光片五片（20×2.40、60、80）、摩擦块1块、磁碰片2片、弹性碰圈2只、滑轮1套、磁碰座架1套、小车收纳器1套、轨道倾角调节器1套、T型支撑架1只、L型挂架2只、铝合金I型支架4只、塑料I型支架2只、策动源1套、紧固件一宗。</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4.可在低温环境（温度≤-8℃，保持时间≥4h）；高温环境（温度≥45℃，保持时间≥4h）；湿热环境（温度≥38℃，湿度≥90%RH，保持时间≥12h）环境中正常运行。</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38</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高灵敏度线圈</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1.系塑壳封装的无源多匝线圈，与微电流传感器配合，可构成一个灵敏度极高的系统。手持该线圈转动，即可测得切割地磁场产生的感生电流；也可用于其他实验，如对比检测不同电器的电磁辐射强度等。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2.高灵敏度密集线圈、无源、塑壳封装、带屏蔽;</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3.与微电流传感器配合，可测得切割地磁场产生的感生电流，也可测得不同电器的电磁辐射强度</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39</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匀强磁场螺线管</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1.功能：研究通电螺线管内磁感应强度与电流的关系。</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2.高密度塑壳封装，</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3.接入电源，产生匀强磁场</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4.规格：≤190mm*130mm*45mm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40</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电学实验板</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1.至少包含23块实验板，实验名称、编号、版面线路清晰。设有标准接插孔及开关，可完成教材中的不少于三十个经典电学实验。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2.包含半波整流与滤波，全波整流与滤波，复杂电路分析， RC、RL 移相，伏安法测电池的电动势和内阻，补偿法测量电池电动势，分压与限流电路，伏安法测电阻、测电阻丝电阻率，二极管特性曲线，三极管特性曲线，三极管放大电路，恒压源、恒流源、双稳态电路、多谐振荡、电容充放电及串并联、振荡电路、自感现象、描绘小灯泡的伏安特性曲线、与门电路、或门电路、非门电路、电感等实验板，可完成几十例中学电学实验。</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3.可在低温环境（温度≤-8℃，保持时间≥4h）；高温环境（温度≥45℃，保持时间≥4h）；湿热环境（温度≥38℃，湿度≥90%RH，保持时间≥12h）环境中正常运行。</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41</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智能机械能守恒实验器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1.由铝合金底座、铝合金刻度板（含释放与收纳装置、挡光片）、铝合金立柱、光电门传感器、传感器电路、摆锤、PC摆杆、固定螺栓组成;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2.直接与计算机USB口连接通讯，通过摆锤的一次运动，可同量获得六个不同高度的瞬时速度，通过速度计算动能，通过实验数据一键生成动能、势能、机械能变化图线。</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4.规格：≤440mm*300mm*80mm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42</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机械能守恒实验器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1.功能：配合光电门传感器使用。可验证机械能守恒定律。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2.由主板、副板、光电门传感器固定臂（主板后）、磁铁夹固定臂（含磁铁夹，主板前）、摆锤（含摆锤线）、定位档、测平器、中央螺母、中央螺栓、摆锤线固定栓、蝶形螺栓（主板后）、通用螺栓构成。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3.摆锤通过不同高度的光电门测得瞬时速度，通过记录不同的瞬时速度</w:t>
            </w:r>
            <w:r w:rsidRPr="003C62FD">
              <w:rPr>
                <w:rFonts w:asciiTheme="minorEastAsia" w:hAnsiTheme="minorEastAsia" w:cs="宋体" w:hint="eastAsia"/>
                <w:kern w:val="0"/>
                <w:sz w:val="24"/>
                <w:szCs w:val="24"/>
              </w:rPr>
              <w:lastRenderedPageBreak/>
              <w:t>计算不同高度的动能，对比势能变化，能够完成动能势能转化实验（定性＋定量）</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4.规格：≤540mm*400mm*80mm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43</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电阻定律实验器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1、组成：需由木制底座、刻度板面膜、接线排端子、不锈钢锁扣、橡胶脚垫、直径不同的黄铜、铁铬、镍铬五种金属丝构成，</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2、功能：配合多量程电流传感器和多量程电压传感器使用，可研究导体的电阻与长度、横截面积、材料的关系。</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44</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智能力盘</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1.功能：探究两个互成角度的力的合成规律。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2.由力/倾角传感器、PC精密力盘、挂臂、固定装置组成，与铁架台、数据采集器配合使用；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3.力/倾角传感器为双测量传感器，须一体化设计，测量范围≥-20N~+20N/-180°~+180°；分度≤0.01N/0.1°；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直柄式结构，同时可测得力与倾角数据，测力时拉力显示正值、压力显示负值；测倾角时，竖直向下方向定为0°，顺时针方向的角度为正值，逆时针方向的角度为负值，支持与采集器的有线通讯、无线通讯工作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5.可同时测量两个方向的分力大小与角度值，完成动态条件下力的分解实验。</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6.规格：≤305mm*275mm*85mm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45</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法拉第电磁感应实验器（动生）</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1、组成：由铝合金底座、多匝数的活动线圈、可移动式磁铁、内置磁感应强度传感器、光电门传感器组成，直接与计算机USB口通讯；</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2、功能：可通过控制变量法，分别验证动生电动势与运动速度的关系、磁感强度、导线长度的关系</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46</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智能电源</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1.功能：探究感应电动势与磁通量变化率的关系。</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2.由主控板与副控板组成。主控板上</w:t>
            </w:r>
            <w:r w:rsidRPr="003C62FD">
              <w:rPr>
                <w:rFonts w:asciiTheme="minorEastAsia" w:hAnsiTheme="minorEastAsia" w:cs="宋体" w:hint="eastAsia"/>
                <w:kern w:val="0"/>
                <w:sz w:val="24"/>
                <w:szCs w:val="24"/>
              </w:rPr>
              <w:lastRenderedPageBreak/>
              <w:t>需设有“输出模式”转换按钮，斜率调节滑杆，“运行”按钮和显示屏；副控板上设有电源开关、电压调节旋钮、电源输出口等。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3.分为手动模式和智能模式输出。</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4.手动模式输出：直流输出：1.5V~10V连续可调。</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智能模式输出：可分别调节单周期的梯形波、单周期三角波及多周期三角波三种模式输出，波形上升与下降斜率分别可调。是法拉第电磁感应定律实验器的必备模块，二者组合使用，可完成研究磁通量的变化率与感生电动势的关系实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6、可在低温环境（温度≤-8℃，保持时间≥4h）；高温环境（温度≥45℃，保持时间≥4h）；湿热环境（温度≥38℃，湿度≥90%RH，保持时间≥12h）环境中正常运行。</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7.规格：≤220mm*140mm*70mm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47</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斜面上力的合成与分解实验器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1.功能：研究斜面上力的分解。</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2.组成：由铝合金座架、L型旋臂和内置式力传感器、弧型角度标尺、环型物块构成。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3.通过调整L型旋臂的角度，可测得两个力传感器的数据，通过数据可分析角度和力的变化。</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4.规格：≤440mm*300mm*80mm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48</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法拉第电磁感应实验器（感生）</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1.由铝合金底座、主线圈、次线圈、电动势测量传输系统组成；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2.直接与计算机USB口连接通讯，与智能电源、磁感应强度传感器测量系统配合使用，探究感生电动势与磁感强度的变化率关系底座内置电压传感器测量系统，底座能够固定I型支架。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3.主线圈匝数：三线200匝±2匝、副线圈匝数：单线200匝±2匝</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4.可在低温环境（温度≤-8℃，保持时间≥4h）；高温环境（温度≥45℃，保持时间≥4h）；湿热环境（温度≥</w:t>
            </w:r>
            <w:r w:rsidRPr="003C62FD">
              <w:rPr>
                <w:rFonts w:asciiTheme="minorEastAsia" w:hAnsiTheme="minorEastAsia" w:cs="宋体" w:hint="eastAsia"/>
                <w:kern w:val="0"/>
                <w:sz w:val="24"/>
                <w:szCs w:val="24"/>
              </w:rPr>
              <w:lastRenderedPageBreak/>
              <w:t>38℃，湿度≥90%RH，保持时间≥12h）环境中正常运行。</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49</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查理定律实验器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1.功能：研究气体压强与温度的关系。</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2.由试管、快速反应温度探头、压强传感器连接器构成，配合温度和压强传感器使用。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3.结合温度与压强传感器，探究气体压强与温度的关系</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4.规格：≤190mm*130mm*45mm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50</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电磁波传播实验器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1.功能：研究电磁波的发射与接收。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2.由电磁波发射模块和接收模块构成。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3.发射模块内置电磁波发生器，可接收模块可连接电压传感器，通过电脑观察接收到的特定电磁波波形。供电电源：两节5号电池。</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4.发射由频率为800Hz的载波与信号波调制或解调的电磁波，信号波的频率在1~8Hz范围内可调。外接天线，可通过按钮切换，调整发射正弦波、方波和三角波三种信号波，供电电源：两节5号电池。</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51</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焦耳定律实验器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1.功能：验证焦耳定律。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2.需由三个PC量热器、电路板、定值电阻组成。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3.每个量热器内配置不同阻值电阻，可搭建出相同电流、不同电阻及相同电阻、不同电流的电路，与温度传感器配合使用，研究电流的热效应与电流、电阻的关系。</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4.规格：≤330mm*300mm*80mm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52</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动力学系统</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1.包含智能小车、矢量模块、配套软件。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2.智能小车</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智能小车内置多种测量电路，能够同时测量位移、速度、加速度、力、角速度物理量，通过小车内置的蓝牙无线模块，与计算机、平板电脑或手机无线连接，在软件上显示出测量数据或图线。可完成力学、运动学</w:t>
            </w:r>
            <w:r w:rsidRPr="003C62FD">
              <w:rPr>
                <w:rFonts w:asciiTheme="minorEastAsia" w:hAnsiTheme="minorEastAsia" w:cs="宋体" w:hint="eastAsia"/>
                <w:kern w:val="0"/>
                <w:sz w:val="24"/>
                <w:szCs w:val="24"/>
              </w:rPr>
              <w:lastRenderedPageBreak/>
              <w:t>的多个实验。内置弹射装置，金属弹射杆，可通过按键或软件启动，为小车提供三种初始速度。</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智能小车设有2个智能附件连接接口，弹簧针设计，通过弹簧针触点接触传输数据，可连接智能风扇模块、智能弹射模块、智能驱动模块、矢量显示模块。可在PC机专用软件上编程，对智能模块进行参数设置和控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（3）智能小车主要技术参数：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 1）力：测量范围：≥±20N；分辨率：≤0.001N； 位移：分度：≤0.1cm； 速度：最大速度：±3m/S； 加速度：测量范围：≥±156.8m/S²（±16g）；分度≤0.01m/S²；陀螺仪：测量范围：≥±2000°/S，分度≤1°/S；</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3.矢量显示模块：含矢量显示装置1套、紧固螺栓2个、专用连接线1条。</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（1）矢量模块通过专用连接线与智能小车连接，并在专用软件上进行显示设置。</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显示数据：力、加速度或速度；显示方式：红色或绿色LED指示数据大小和方向，LED点亮的多少与小车的数据大小成正比，红色或绿色显示数据的方向；OLED屏显示当前数据类型；设置方式：按键或专用软件设置显示数据类型。</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4.还可配套弹射、驱动、风扇模块使用，配套多用力学轨道使用。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53</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光敏传感器控制电路</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1.由PC底板、控制电路、传感器电路、光传感器构成；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2.基于传感器控制系统软件进行阈值设定，一旦传感器所采集到的数据满足设定的条件，选定的执行器即可启动。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3.可拨动控制电路开关选择执行器类型（蜂鸣器、小灯、电机）。</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4.附件含miniUSB数据通讯线、传感器连线及扇叶</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54</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光的干涉衍射实验器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1.由激光光源、托架、单缝、双缝、偏振片组成;</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2.安装在铁架台上，与相对光照度分布传感器配合使用，用于测量光的单缝衍射、双缝干涉分布图像。</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55</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静电学套件</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1.测量范围≥-100nC~+100 nC；分度≤1 nC，用于测量静电电荷电量。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2.自带不小于5寸液晶显示屏，可独立使用并显示测量结果。</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3.自带硬件调零按钮，支持硬件调零和软件调零。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4.可通过无线传输方式与计算机进行通讯，显示屏与计算机可同时显示测量数据。</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5.自带1000mAh以上锂电池。</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6.在低温环境（温度≤-8℃，保持时间≥4h）；高温环境（温度≥45℃，保持时间≥4h）；湿热环境（温度≥38℃，湿度≥90%RH，保持时间≥12h）环境中正常运行。</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56</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平抛运动实验器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1.功能：研究平抛运动。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2.由铝合金座架、铝合金支架、铝合金平抛轨道、PC光电门支架、内置式触碰传感器、铁制小球、标尺游标、磁性回收器等组成。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3.轨道长度≥500mm</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4.与光电门传感器配合，可测量平抛运动小球的初速度、运行时间与水平距离。</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57</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单摆实验器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1.功能：研究重力加速度。</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2.由单摆固定杆、刚性摆锤（含转轴、长度可调碳纤维摆杆、信号源夹、配重块）、PC刻度盘、紧固件构成，与电磁定位系统、信号源配合使用，可用于探究单摆周期与摆长的关系、测量当地重力加速度等实验。</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3.规格：规格：≤1080mm*80mm*80mm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58</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机械能守恒实验器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1.功能：研究机械能守恒定律</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2.由支架总成（含≥60mm立杆、支架、角槽连接件）、摆杆（含转轴、T型连接杆、碳纤维杆、信号源夹）及紧</w:t>
            </w:r>
            <w:r w:rsidRPr="003C62FD">
              <w:rPr>
                <w:rFonts w:asciiTheme="minorEastAsia" w:hAnsiTheme="minorEastAsia" w:cs="宋体" w:hint="eastAsia"/>
                <w:kern w:val="0"/>
                <w:sz w:val="24"/>
                <w:szCs w:val="24"/>
              </w:rPr>
              <w:lastRenderedPageBreak/>
              <w:t>固件构成，配备安装工具（含≥2.5mm内六角扳手1只，≥1.5mm内六角扳手1只）。与电磁定位板、信号源配合使用，可进行“机械能守恒定律”实验，系统自动记录信号源的运动轨迹，并得出这段运动区域内信号源动能、重力势能和机械能的变化图线。</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59</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自由落体运动实验器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1.功能：研究自由落体运动。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由手动释放器、信号源保护夹、缓冲筐及紧固件构成。与电磁定位板、信号源及软件配合使用，在定位范围≥578mm×330mm中，满足定位精度≤1mm的要求，在二维坐标系中能够以50Hz或100Hz精准定位物体自由下落过程中的轨迹点，同时以表格形式记录下落过程中轨迹点的坐标，能够绘制“s-t图线”以及“v-t图线”，并自动计算出物体下落的“加速度”值，获得自由落体运动的规律，支持实验数据的导出、导入、实验结果的保存等。</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60</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电磁定位实验器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1.通过感应发射器产生的磁场对发射器进行二维平面内的定位，采用电磁定位原理（图像、超声、红外方式无效），定位准确、采集频率高，发射器自带Micro usb接口，可充电，直径小于3cm；抛出装置可以设定水平、垂直、倾斜等抛出方式，抛出装置可竖直、水平自由定位。</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2.性能要求：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（1）定位范围≥50cm*30cm；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（2）软件采样频率可设置为：50Hz、100Hz、150Hz、200Hz；</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（3）可记录并绘制信号源的运动轨迹；</w:t>
            </w:r>
            <w:r w:rsidR="00D72FFC" w:rsidRPr="000F19E9">
              <w:rPr>
                <w:rFonts w:asciiTheme="minorEastAsia" w:hAnsiTheme="minorEastAsia" w:cs="仿宋" w:hint="eastAsia"/>
                <w:kern w:val="0"/>
                <w:sz w:val="24"/>
                <w:szCs w:val="24"/>
                <w:highlight w:val="red"/>
              </w:rPr>
              <w:t>软件包含平抛、斜抛、离心运动、阻尼运动、自由落体、机械能守恒等实验</w:t>
            </w:r>
            <w:r w:rsidRPr="003C62FD">
              <w:rPr>
                <w:rFonts w:asciiTheme="minorEastAsia" w:hAnsiTheme="minorEastAsia" w:cs="宋体" w:hint="eastAsia"/>
                <w:kern w:val="0"/>
                <w:sz w:val="24"/>
                <w:szCs w:val="24"/>
              </w:rPr>
              <w:t>。</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3.弹射器可根据需要上下调节位置。弹射器具有三档弹力调节功能，可使弹射出的信号发射器具有不同的初速度。</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4.弹射器的弹射角度可调，并有角度指示功能。发射器的定位偏差为±0.05mm。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5.软件可设定坐标零点，软件可实时显示信号发射器在定位板上的位置及动态坐标值变化。</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6.可将所得数据“导出”及“导入”至Excel表格中。可完成平抛运动、自由落体、斜抛、单摆、离心轨道、运动合成、圆周运动、惯性定律等研究二维平面内运动规律的实验。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7.为便于实验操作，实验器可通过USB线直接接入计算机，实验器研究对象直径不应大于3cm。</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8.可在低温环境（温度≤-8℃，保持时间≥4h）；高温环境（温度≥45℃，保持时间≥4h）；湿热环境（温度≥38℃，湿度≥90%RH，保持时间≥12h）环境中正常运行。</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61</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摩擦力实验器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1.功能：研究滑动摩擦力、研究影响滑动摩擦力大小的因素、研究最大静摩擦力。</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2.由铝合金轨道、PC摩擦台底座、多种摩擦块、电机组成，轨道长度≥700mm；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3.与力传感器配合使用，可实现摩擦物体做匀速直线运动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4.可在低温环境（温度≤-8℃，保持时间≥4h）；高温环境（温度≥45℃，保持时间≥4h）；湿热环境（温度≥38℃，湿度≥90%RH，保持时间≥12h）环境中正常运行。</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0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62</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安培力实验器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1.功能：测量安培力。</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2.由铝合金底座、磁铁组、标有角度的转盘、矩形线框、挂钩、支架组成;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3.配合电流传感器或多量程电流传感器和微力传感器使用，研究安培力与导线长度、供电电流以及电流方向与磁场夹角的关系。</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4.矩形线框上线圈至少需为6种匝数，分别是：50、100、150、200、</w:t>
            </w:r>
            <w:r w:rsidRPr="003C62FD">
              <w:rPr>
                <w:rFonts w:asciiTheme="minorEastAsia" w:hAnsiTheme="minorEastAsia" w:cs="宋体" w:hint="eastAsia"/>
                <w:kern w:val="0"/>
                <w:sz w:val="24"/>
                <w:szCs w:val="24"/>
              </w:rPr>
              <w:lastRenderedPageBreak/>
              <w:t>250、300匝，可研究不同匝数下的安培力大小。</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5.规格：≤310mm*280mm*85mm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lastRenderedPageBreak/>
              <w:t xml:space="preserve">　</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化学实验室1</w:t>
            </w:r>
          </w:p>
        </w:tc>
        <w:tc>
          <w:tcPr>
            <w:tcW w:w="2230"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63</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▲电流传感器（化学）</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外观：一体化设计，电极信号放大模块及无线蓝牙模块应内置在传感器中，锂电池供电；尺寸：≤99mm x 60mm x 31mm；主体材质：PVC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低量程：±0.1A ；高量程： ±1A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任意输入的最大电压：±10V</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低量程的最大无损电流: 0.5 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高量程的最大无损电流: 1.5 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低量程的输入阻抗（输入之间）：≤1Ω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高量程的输入阻抗（输入之间）：≤0.1Ω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输入阻抗（接地）：≥10MΩ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线性：≤0.01%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 低量程分辨率: ≤0.003mA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 高量程分辨率: ≤0.031mA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 连接方式：无线蓝牙、最大范围30米；有线：USB连接至终端（电脑/采集器）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14.功能：测量简单电路中的电流。</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64</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电压传感器（化学）</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连接到分析软件，软件识别传感器需具有的唯一ID，应可快速分辨并选择性连接，可与其它传感器在同一软件下使用。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外观：一体化设计，电极信号放大模块及无线蓝牙模块应内置在传感器中，锂电池供电；主体材质：PVC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输入电压低量程：±1 V</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输入电压高量程：±20 V</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任意输入的最大安全电压：24 V</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输入阻抗（接地）：10 MΩ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7. 差分阻抗：＞20 MΩ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线性：≤0.01%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16-bit分辨率：在20 V通道时 5 mV</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最大采样速率：1000样本/秒</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 连接方式：无线蓝牙、最大范围30米；有线：USB连接至终端（电脑/采集器）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12.功能：测量简单电路中的电压、研究电化学电池的基本原理或研究不同金属的电阻率。</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65</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压强传感器（化学）</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外观：一体化设计，电极信号放大模块及无线蓝牙模块应内置在传感器中，锂电池供电；尺寸：≤9.5cm x 6.0cm x 3.25cm；主体材质：PVC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内部体积：≤0.8mL</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量程：0至400kPa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最大可承受不损坏传感器的气压：410 kPa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典型精度：±3kPa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分辨率：≤0.03kPa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最大采样速率：50样本/秒</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连接方式：无线蓝牙、最大范围30米；有线：USB连接至终端（电脑/采集器）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10.功能：检测气体压力。</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66</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温度传感器（化学）</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外观：一体化设计，电极信号放大模块及无线蓝牙模块应内置在传感器中，锂电池供电；尺寸：高≤18.5cm，宽≤2cm，探针长≤11.5cm；主体材质：PVC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温度范围：-40到125℃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精度：±0.25℃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5. 分辨率：≤0.01℃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手柄温度范围：-10至45℃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7. 连接方式：无线蓝牙、最大范围30米；有线：USB连接至终端（电脑/采集器） </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8.功能：检测温度。</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67</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数据采集器（含数据分析软件）</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一、数据采集器参数要求：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电脑连接：USB 2.0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最大采样速率：≥100000样本/秒</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模拟接口：≥3</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数字接口：≥2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由连接电脑的USB口直接供电-不需要交流电源或者电池</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尺寸：≤6cm*10cm*2.6 cm  ；主体材质：PVC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二、数据分析软件参数要求：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1.运行平台：Windows系统、macOS系统、iOS、Linux、安卓、ChromeOS</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2.在Chrome浏览器直接运行、无需安装</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3.可使用多通道或同时采集多个传感器的数据；</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4.可选择基于时间或基于事件的数据采集模式，包括需要输入值的事件；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5.基于时间的模式下可以设定触发启动采集；</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6.手动输入数据或使用剪贴簿输入数据；</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7.更改数据的计量单位时图和表内的相应单位自动改变</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8.在数据采集之前绘制预测图形；</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9.根据需要显示一个、两个或三个图形；</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10.数据现象可选择线模式和点模式呈现，点模式可选16种图形符号，每个数据组颜色和符号可独立设置</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11.可自由设定坐标轴的变量和范围，采集过程可自适应全屏显示图像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12.数据组可在图中直接框选并局部</w:t>
            </w:r>
            <w:r w:rsidRPr="003C62FD">
              <w:rPr>
                <w:rFonts w:asciiTheme="minorEastAsia" w:hAnsiTheme="minorEastAsia" w:cs="宋体" w:hint="eastAsia"/>
                <w:kern w:val="0"/>
                <w:sz w:val="24"/>
                <w:szCs w:val="24"/>
              </w:rPr>
              <w:lastRenderedPageBreak/>
              <w:t>放大显示，选择全部或局部的统计和曲线拟合；</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13.根据传感器列自定义计算的栏；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14.使用图形数据进行内插和外插值计算</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15.可调节UI大小0.5-2倍（文字、图标）</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台</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68</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浑浊度传感器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范围：0到200 NTU</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13-bit:≤0.13 NTU</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12-bit:≤0.25 NTU</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10-bit：≤1 NTU</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精确度：±2 NTU（读数在25 NTU下）；±5%（读数在25 NTU以上）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发光二极管波长：890 nm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主体材质：PVC;样本瓶：玻璃</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标准:StablCal甲嗪标准100 NTU</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69</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热电偶温度传感器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外观：电极信号放大模块及无线蓝牙模块应内置在传感器中，锂电池供电；尺寸：≤99mm x 60mm x 31mm；主体材质：PVC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量程：-200℃至1400℃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精度：±2.2℃或读数的0.75%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适配的热电偶线：K型（标配）、J型、T型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热电偶线可塑形</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包裹需有封闭绝缘体防护</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连接方式：无线蓝牙、最大范围30米；有线：USB连接至终端（电脑/采集器）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70</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PH传感器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外观：无线蓝牙模块应内置在传感器中，锂电池供电；电极放大器：≤8.5cm x 3cm x 1.75cm；传感器轴：长≤15.5cm，外径≤12mm；主体材质：</w:t>
            </w:r>
            <w:r w:rsidRPr="003C62FD">
              <w:rPr>
                <w:rFonts w:asciiTheme="minorEastAsia" w:hAnsiTheme="minorEastAsia" w:cs="宋体" w:hint="eastAsia"/>
                <w:kern w:val="0"/>
                <w:sz w:val="24"/>
                <w:szCs w:val="24"/>
              </w:rPr>
              <w:lastRenderedPageBreak/>
              <w:t>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类型：密封体，凝胶填充，主体材质为聚碳酸酯，银/氯化银参比电极</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pH量程：0-14</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典型精度（出厂校准）：±0.2pH</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pH等势值：pH7（温度没有影响的点）</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分辨率：≤0.01pH</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连接方式：无线蓝牙、最大范围30米；有线：USB连接至终端（电脑/采集器）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71</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电导率传感器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传感器有≥3个测量通道可同时开启：电导率、无温度补偿电导率、温度</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外观：无线蓝牙模块应内置在传感器中，锂电池供电；电极放大器：≤8.5cm x 3cm x 1.75cm；总长≤195mm，传感器轴长≤120mm，轴径≤12mm；主体材质：PVC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类型：ABS材质，平行碳（石墨）电极</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量程：0到20,000 uS/cm（0至10000 mg/L TDS）</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响应时间：5秒内达到最终读数的98%</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温度补偿：5℃到35℃自动补偿；温度范围：0至80℃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分辨率：≤0.01 uS/cm</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连接方式：无线蓝牙、最大范围30米；有线：USB连接至终端（电脑/采集器）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72</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氧气传感器（化学）</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该传感器含≥3个测量通道可同时开启：气体中的氧气浓度、氧气浓度（快速温度补偿）和温度</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连接到分析软件，软件识别传感器具有的唯一ID，应可快速分辨并选</w:t>
            </w:r>
            <w:r w:rsidRPr="003C62FD">
              <w:rPr>
                <w:rFonts w:asciiTheme="minorEastAsia" w:hAnsiTheme="minorEastAsia" w:cs="宋体" w:hint="eastAsia"/>
                <w:kern w:val="0"/>
                <w:sz w:val="24"/>
                <w:szCs w:val="24"/>
              </w:rPr>
              <w:lastRenderedPageBreak/>
              <w:t xml:space="preserve">择性连接，可与其它传感器在同一软件下使用。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外观：一体化设计，电极信号放大模块及无线蓝牙模块应内置在传感器中，锂电池供电；探头长≤38mm，轴径≤28mm，总长≤155mm；主体材质：PVC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氧气传感器类型：电化学电池</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量程：0–100% (0–1000 ppt)O2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精度（760mm汞柱标准大气压下）：O2体积的±1%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分辨率：≤0.01% O2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响应时间：12秒内达到最终读数的90%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预热时间：少于5秒时达到最终读数的90%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压强影响：直接成比例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 压强范围：0.5atm到1.5atm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 气体采样模式：扩散</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 操作湿度范围：0到95%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14. 温度传感器类型：热敏电阻；精度：±0.5℃；分辨率：≤0.1℃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15. 连接方式：无线蓝牙、最大范围≥30米；有线：USB连接至终端（电脑/采集器）</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16.功能：测量气体中的氧气浓度和空气温度。</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73</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二氧化碳传感器（化学）</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传感器含≥3个测量通道可同时开启：二氧化碳浓度、温度和相对湿度。</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外观：一体化设计，电极信号放大模块及无线蓝牙模块内置在传感器中，锂电池供电；探头长≤82mm，轴径≤28mm，总长≤200mm；主体材质：PVC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二氧化碳通道：红外吸收检测；预热时间180秒；气体采样模式：扩</w:t>
            </w:r>
            <w:r w:rsidRPr="003C62FD">
              <w:rPr>
                <w:rFonts w:asciiTheme="minorEastAsia" w:hAnsiTheme="minorEastAsia" w:cs="宋体" w:hint="eastAsia"/>
                <w:kern w:val="0"/>
                <w:sz w:val="24"/>
                <w:szCs w:val="24"/>
              </w:rPr>
              <w:lastRenderedPageBreak/>
              <w:t>散</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量程：0-100000 ppm；分辨率：≤1ppm CO2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精度：±100ppm(0-1000ppm)；读数的±5% + 100ppm(1000-10000ppm)；读数的±10%(10000-50000ppm)；读数的±15%(50000-100000ppm)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温度通道：集成电路（IC）;精度：±1℃;分辨率：≤0.1℃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相对湿度通道：集成电路（IC）;量程：0到100%（不凝结）; 精度：±5%或者更高;分辨率：≤0.1%</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连接方式：无线蓝牙、最大范围30米；有线：USB连接至终端（电脑/采集器）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74</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溶解氧传感器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传感器有≥5个测量通道：DO浓度、DO盐度、DO饱和度、温度、压强</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外观：一体化设计，电极信号放大模块及无线蓝牙模块内置在传感器中，锂电池供电；</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溶解氧浓度量程（mg/L）：0到20 mg/L</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溶解氧饱和度量程（%）：0-300%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低于10mg/L时的精度：±0.2mg/L；高于10mg/L时的精度：±0.4mg/L</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低于100%时的精度：±2%；高于100%时的精度：±5%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低于10mg/L时的校准重置精度：±0.1mg/L；高于10mg/L时的校准重置精度：±0.2mg/L；</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低于100%时的校准重置精度：±1%；高于100%时的校准重置精度：±5%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传感器类型：冷光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11. 响应时间：40秒内达到最终读数的90%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 温度补偿：自动从0到50℃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 压强补偿：从228 mmHg到1519 mmHg自动压强补偿</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14. 最小样本流速：没有要求</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15. 连接方式：无线蓝牙、最大范围30米；有线：USB连接至终端（电脑/采集器）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75</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磁力搅拌器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最大搅拌量：≥800毫升</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2. 转速（RPM）：50–1250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速度控制器：连续可调</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搅拌台材料：ABS塑料</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搅拌台直径：≥10厘米</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不含电池的重量：≤460g</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操作温度：0–60°C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操作最大湿度：≤90%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电源：6伏的交流电适配器（包括）或4节干电池</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安装类别：II</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台</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76</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分光光度计</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连接到光谱分析软件，软件识别传感器具有的唯一ID，应可快速分辨并选择性连接。</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外观：一体化设计，电极信号放大模块及无线蓝牙模块内置在传感器中，锂电池供电;尺寸：≤15cm x 9cm x 4cm；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光源：LED辅助白炽灯</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探测器：线性电荷耦合元件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波长范围：380纳米- 950纳米</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报告波长间隔：约1nm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光学分辨率（FWHM）：≤5.0nm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波长精度：±4.0nm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光学精度：±0.10A.U.</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典型扫描时间：约2秒</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 操作温度：15到35℃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 支持荧光：两个激发源集中在405 nm和500 nm</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 连接方式：无线蓝牙、最大范围30米；有线：USB连接至终端（电脑/采集器）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台</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77</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分光光度计光纤</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波长范围： 350nm-900nm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材质：塑料外壳，内部光纤</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适配光度计比色皿接口</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根</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78</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滴数传感器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外观：一体化设计，电极信号放大模块及无线蓝牙模块应内置在传感器中，锂电池供电;传感器全长：≤15.5厘米，宽度：≤4.5厘米，厚度：≤1.8厘米；主体材质：PVC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滴定用开口长：≥3厘米</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插传感器圆孔直径：≥7毫米（适配温度传感器）和≥13毫米（适配溶液用传感器）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固定铁架台开口：≥16毫米</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从固定铁架台开口中心到滴定用开口中心的距离：≥10.5厘米</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从固定铁架台开口中心到插传感器圆孔中心的距离：≥12厘米</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准确滴计数率：≥6滴/秒</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连接方式：无线蓝牙、最大范围30米；有线：USB连接至终端（电脑/采集器）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79</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氧化还原传感器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外观：无线蓝牙模块应内置在传感器中，锂电池供电；电极放大器：≤8.5cm x 3cm x 1.75cm；传感器轴长≤15.5cm，轴径≤12mm ；主体材质：PVC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材质：密封，胶体填充，聚碳酸酯主体，银/氯化银参比电极；99%纯铂金圈密封在玻璃里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量程：-1000 mV 到+1000 mV</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响应时间：缓冲溶液中1秒内达到最终读数的90%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精度：±20 mV</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7. 分辨率：≤0.01 mV</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连接方式：无线蓝牙、最大范围30米；有线：USB连接至终端（电脑/采集器）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80</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铂金电导率传感器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外观：无线蓝牙模块应内置在传感器中，锂电池供电；电极放大器：≤8.5cm x 3cm x 1.75cm；传感器轴长≤120mm，轴径≤12mm；主体材质：PVC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量程 0-20000uS/cm（0-10000mg/L TDS）</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类型：环氧树脂主体，2芯铂电极</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响应时间：5秒内最终读数的95%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温度补偿：不补偿或5- 35℃内补偿2%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温度范围：0-80℃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精度：±10µS/cm(1 - 4000µS/cm)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分辨率：≤0.01µS/cm</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连接方式：无线蓝牙、最大范围30米；有线：USB连接至终端（电脑/采集器）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81</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玻璃PH传感器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外观：无线蓝牙模块应内置在传感器中，锂电池供电；电极放大器：≤8.5cm x 3cm x 1.75cm；传感器轴：≤15.5cm长，≤12mm轴径；主体材质：PVC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3. 电极类型：玻璃体，密封，凝胶填充，银/氯化银参比电极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响应时间：缓冲溶液中1秒内达到最终读数的90%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量程：pH 0-14</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典型精度（出厂校准值）：±0.2pH</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pH等势值：pH 7（温度没有影响</w:t>
            </w:r>
            <w:r w:rsidRPr="003C62FD">
              <w:rPr>
                <w:rFonts w:asciiTheme="minorEastAsia" w:hAnsiTheme="minorEastAsia" w:cs="宋体" w:hint="eastAsia"/>
                <w:kern w:val="0"/>
                <w:sz w:val="24"/>
                <w:szCs w:val="24"/>
              </w:rPr>
              <w:lastRenderedPageBreak/>
              <w:t>的点）</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分辨率：≤0.01pH</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连接方式：无线蓝牙、最大范围30米；有线：USB连接至终端（电脑/采集器）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82</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恒定电流传感器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范围：0到0.6A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线性：≤0.1%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电源电压：5 V直流</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电源电流（典型）：≥9 mA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输出电压范围：0到5V</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6. 电源（输入）：100–240 VAC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50/60 Hz 0.5 A ，26–41 VA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电源（输出）：5V,1.5A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最大无线范围：30m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尺寸：电线：≥60cm；主体材质：PVC</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 连接方式:无线：蓝牙；有线：USB</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83</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氯离子传感器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外观：无线蓝牙模块应内置在传感器中，锂电池供电；电极放大器：≤8.5cm x 3cm x 1.75cm；传感器轴长≥20.5cm，轴径≤12mm；主体材质：PVC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量程（浓度）：1到35,000mg/L（或ppm）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分辨率：全量程的±10%（10到1000 mg/L的较准范围）</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pH范围：2-12（无pH补偿）</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温度范围：0-80℃（无温度补偿）</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电极斜率：25℃时-56±3mV/ decade</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电极阻抗：1到5MΩ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最小取样量： 2.8cm深</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典型的电压读数：1000 mg/L时114mV，10 mg/L时230mV</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 连接方式：无线蓝牙、最大范围30米；有线：USB连接至终端（电脑</w:t>
            </w:r>
            <w:r w:rsidRPr="003C62FD">
              <w:rPr>
                <w:rFonts w:asciiTheme="minorEastAsia" w:hAnsiTheme="minorEastAsia" w:cs="宋体" w:hint="eastAsia"/>
                <w:kern w:val="0"/>
                <w:sz w:val="24"/>
                <w:szCs w:val="24"/>
              </w:rPr>
              <w:lastRenderedPageBreak/>
              <w:t>/采集器）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84</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钙离子传感器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连接到分析软件，软件识别传感器具有的唯一ID，应可快速分辨并选择性连接，可与其它传感器在同一软件下使用。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外观：无线蓝牙模块应内置在传感器中，锂电池供电；电极放大器：≤8.5cm x 3cm x 1.75cm；传感器轴长≤20.5cm，轴径≤12mm；主体材质：PVC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量程（浓度）：1到40,000mg/L（或ppm）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分辨率：读数的±10%（校准10到1000 mg/L）</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pH量程：2-8（无pH补偿）</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温度范围：0-40℃（无温度补偿）</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电极斜率：25℃时+26±2mV/ decade</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电极阻抗：100MΩ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最小取样量： 2.8cm深</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连接方式：无线蓝牙、最大范围30米；有线：USB连接至终端（电脑/采集器）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85</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数字化传感器配套玻璃仪器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Y型反应管 内≥20*80*70 ，材质：玻璃</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斜二口直筒型烧瓶 250ml，口径≥29/19mm，材质：玻璃</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斜三口直筒型烧瓶 500ml ，口径≥34/24 mm，材质：玻璃</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斜三口圆底烧瓶 250ml ，口径≥34/24/19 mm ，材质：玻璃</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硅胶塞带孔 34# ，材质：橡胶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硅胶塞带孔 24#，2只，材质：橡胶</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可配合气体压力传感器，氧气传感器，pH传感器，不锈钢温度传感器，氯离子传感器使用（有线和无线均可使用）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5</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86</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无线能量传感器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1.输入电压量程：±5V（内部负载）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2.±30V（外部负载）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3.输入电流量程：±0.18A（内部负载）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4.±1A（外部负载）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5.分辨率：≤1 mV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6.≤40 uA</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7.输入阻抗：1MΩ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8.插入阻抗：1Ω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9.电池：锂电池</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10.最大无线范围：30m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11.连接方式：无线蓝牙；有线：USB</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12.主体材质：PVC</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4</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87</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无线色度计</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1.范围：0至3（吸光度）（0到100%T）</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2.可用范围：</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3.0.05至1（吸光度）（90%至10%T）</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4.波长：430纳米，470纳米，565纳米，635纳米</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5.连接方式:无线：蓝牙</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6.有线：USB</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7.主体材质：PVC</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4</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88</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专用充电线</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1.含有16个充电口：包含8个USB充电口以及8个电极放大器充电口。</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2.主体材质：PVC</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个</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89</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分子模型 无机/有机教师套装1</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24个碳原子，黑色，4个孔，角度109°，球径23mm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6个碳原子，黑色，3个孔，角度120°，球径23mm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2个碳原子，黑色，2个孔，角度180°，球径23mm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6个碳原子，黑色，5个孔，角度90或120°，球径23mm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40个氢原子，白色，1个孔，球径17mm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12个氧原子，红色，2个孔，角度105°，球径23mm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4个氮原子，蓝色，4个孔，角度109°，球径23mm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1个硫原子，黄色，4个孔，角度109°，球径23mm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1个硫原子，黄色，2个孔，105°，球径23mm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8个卤素原子，绿色，1个孔，</w:t>
            </w:r>
            <w:r w:rsidRPr="003C62FD">
              <w:rPr>
                <w:rFonts w:asciiTheme="minorEastAsia" w:hAnsiTheme="minorEastAsia" w:cs="宋体" w:hint="eastAsia"/>
                <w:kern w:val="0"/>
                <w:sz w:val="24"/>
                <w:szCs w:val="24"/>
              </w:rPr>
              <w:lastRenderedPageBreak/>
              <w:t>球径17mm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 4个磷原子，紫色，4个孔，角度109°，球径23mm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 2个金属原子，灰色，1个孔，球径17mm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 1个金属原子，灰色，2个孔，角度105°，球径23mm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14. 55个化学键，灰色，中键，19mm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15. 25个化学键，灰色，弹性长键，30mm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16. 60个化学键，白色，短键，2mm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17. 1个比例扳手</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18. 材质：高密度聚苯乙烯</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90</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分子模型 无机/有机教师套装2</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 14个碳，黑色，4个孔，角度109°，球径23mm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 6个碳，深蓝，5个孔，角度90或120°，球径23mm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 12个氢，白色，1个孔，球径17mm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 2个氢，白色，2个孔，角度180°，球径17mm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 16个氧，红色，2个孔，角度105°，球径23mm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 6个氧，红色，4个孔，角度109°，球径23mm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 6个氮，蓝色，4个孔，角度109°，球径23mm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 4个氮、蓝色，3个孔，角度107°，球径23mm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 8个硫，黄色，2个孔，角度105°，球径23mm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 4个硫，黄色，4个孔，角度109°，球径23mm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 1个硫，黄色，6个孔，角度90°，球径23mm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 4个磷，紫色，4个孔，角度109°，球径23mm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 1个磷，紫色，5个孔，角度90或120°，球径23mm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14. 2个磷，紫色，3个孔，角度107°，球径23mm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15. 8个卤素，绿色，1个孔，球径</w:t>
            </w:r>
            <w:r w:rsidRPr="003C62FD">
              <w:rPr>
                <w:rFonts w:asciiTheme="minorEastAsia" w:hAnsiTheme="minorEastAsia" w:cs="宋体" w:hint="eastAsia"/>
                <w:kern w:val="0"/>
                <w:sz w:val="24"/>
                <w:szCs w:val="24"/>
              </w:rPr>
              <w:lastRenderedPageBreak/>
              <w:t>17mm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16. 4个金属元素，灰色，1个孔，球径17mm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17. 3个金属元素，灰色，2个孔，角度105°，球径23mm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18. 2个金属元素，灰色，3个孔，角度120°，球径23mm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19. 4个金属元素，灰色，4个孔，角度109°，球径23mm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20. 1个金属元素，灰色，6个孔，角度90°，球径23mm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21. 38个化学键，灰色，中键，19mm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22. 36个化学键，灰色，弹性长键，30mm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23. 12个化学键，紫色，中键，19mm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24. 6个粉色电子云，扁梨形</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25. 6个紫色电子云，扁梨形</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26. 6个黄褐色电子云，扁梨形</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27. 材质：高密度聚苯乙烯</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66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91</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实物元素周期表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化学元素周期表展柜需包括展柜、各种元素样品、触控屏、显示器、主机、互动软件，可以实现实物元素标本的展示、互动、显示、教学等功能。元素周期表展柜需可以提供81种元素的样品，每个格子摆放对应的实物元素样品，涵盖各种宝石（与对应元素相关）、矿物晶体、单质、化合物、工业应用品、生活应用品等，贵金属、稀有金属、稀土金属、稀有气体全部齐全，配套触控系统和显示系统需用于展示元素科普软件，软件包含各种元素的科普介绍、基本知识、相关图片、相关实验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2.展品组成：展柜整体包括展柜及触控显示两大部分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（1）展柜部分：展柜部分用于展示各种元素的实物标本，展柜部分尺寸≥2000mm*2000mm*400mm，采用三聚氰胺板材定制。共包含≥118 个元素内格，每个内格尺寸≥100mm*100mm，每个内格需内接LED灯（气体元素内</w:t>
            </w:r>
            <w:r w:rsidRPr="003C62FD">
              <w:rPr>
                <w:rFonts w:asciiTheme="minorEastAsia" w:hAnsiTheme="minorEastAsia" w:cs="宋体" w:hint="eastAsia"/>
                <w:kern w:val="0"/>
                <w:sz w:val="24"/>
                <w:szCs w:val="24"/>
              </w:rPr>
              <w:lastRenderedPageBreak/>
              <w:t>格不安装led灯），展柜部分需整体安装不小于2000mm*2000mm*400mm的大尺寸钢化玻璃一块，铆钉固定钢化玻璃。还需包括亚克力样品盒、元素样品底座及标签、气体元素高压电源、高压电源控制器等配件。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触控显示部分：触控系统和显示系统部分，触控系统柜体尺寸≥500mm*600mm。触控屏尺寸≥12.9英寸，用于展示元素科普软件，该软件需包含各种元素的科普介绍、基本知识、相关图片、相关实验等。显示器尺寸≥31.5英寸，用于同屏展示触控屏上的内容。</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元素样品：共提供≥81种元素的实物样品（不含放射性元素的实物样品），与相应元素对应的样品放置在≥100*100*100mm的展格中。放射性元素不摆放实物样品，只摆放与对应元素相关的图片展品。样品总数总数不少于200件，涵盖各种宝石（与对应元素相关）、矿物晶体、单质、化合物、工业应用品、生活应用品等，各种贵金属、稀有金属、稀土金属、稀有气体等全部齐全。氦、氖、氩、氪、氙这五种气体元素，每种都需装配一件特制的气体放电管，通电后每种气体都应可发出特征颜色的可见光。包含实物样品的元素需包含有：氢、氦、锂、铍、硼、碳、氮、氧、氟、氖、钠、镁、铝、硅、磷、硫、氯、氩、钾、钙、钪、钛、钒、铬、锰、铁、钴、镍、铜、锌、镓、锗、砷、硒、溴、氪、铷、锶、钇、锆、铌、钼、钌、铑、钯、银、镉、铟、锡、锑、碲、碘、氙、铯、钡、镧、铈、镨、钕、钐、铕、钆、铽、镝、钬、铒、铥、镱、镥、铪、钽、钨、铼、锇、铱、铂、金、汞、铊、铅、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4.其他配件，需包括：亚克力样品盒</w:t>
            </w:r>
            <w:r w:rsidRPr="003C62FD">
              <w:rPr>
                <w:rFonts w:asciiTheme="minorEastAsia" w:hAnsiTheme="minorEastAsia" w:cs="宋体" w:hint="eastAsia"/>
                <w:kern w:val="0"/>
                <w:sz w:val="24"/>
                <w:szCs w:val="24"/>
              </w:rPr>
              <w:lastRenderedPageBreak/>
              <w:t>≥120件，带对应元素标识，尺寸≥97*97*97mm；每种元素对应样品底座及标签、气体元素高压电源一组，使气体元素样品按程序发光，延长寿命。</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5.包含设备安装调试。</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lastRenderedPageBreak/>
              <w:t xml:space="preserve">　</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化学实验室2</w:t>
            </w:r>
          </w:p>
        </w:tc>
        <w:tc>
          <w:tcPr>
            <w:tcW w:w="2230"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b/>
                <w:bCs/>
                <w:color w:val="000000"/>
                <w:kern w:val="0"/>
                <w:sz w:val="24"/>
                <w:szCs w:val="24"/>
              </w:rPr>
            </w:pPr>
            <w:r w:rsidRPr="003C62FD">
              <w:rPr>
                <w:rFonts w:asciiTheme="minorEastAsia" w:hAnsiTheme="minorEastAsia" w:cs="宋体" w:hint="eastAsia"/>
                <w:b/>
                <w:bCs/>
                <w:color w:val="000000"/>
                <w:kern w:val="0"/>
                <w:sz w:val="24"/>
                <w:szCs w:val="24"/>
              </w:rPr>
              <w:t xml:space="preserve">　</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92</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紫外可见分光光度计</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一、功能要求：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1、掌握紫外可见分光光度计的基本原理：了解紫外-可见分光光度计的工作原理，包括光的吸收定律（朗伯-比尔定律）以及仪器的光学结构（双光束光路、光栅分光等）。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2.、熟悉仪器的操作流程：学习紫外可见分光光度计的使用方法，包括开机自检、样品测量、数据存储与导出等操作。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3、测定样品的吸收光谱：通过光谱扫描功能，获取待测样品在190~1100nm波长范围内的吸收曲线，分析其特征吸收峰。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4. 定量分析样品浓度：利用标准曲线法，测定未知样品的浓度，验证朗伯-比尔定律的适用性。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二、参数要求：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1.显示器：彩色中/英文触摸显示屏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2、波长驱动：自动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3、波长范围：190~1100nm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4、波长准确度：≤±0.3nm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5、波长重复性：≤0.1nm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6、光谱带宽：0.5/1/2/4nm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7、透射比准确度：≤0.3%T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8、透射比重复性：≤0.1%T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9、透射比范围：0~200%T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10、吸光度范围：-0.4~4.0A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11、浓度显示范围：0~99999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12、杂散光：≤0.03%T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13、稳定性：≤±0.0005A/h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14、基线平直度：≤±0.0003A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15、噪声：≤0.0003A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 xml:space="preserve">16、输出接口：USB RS-232 </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17、操作系统：安卓操作系统</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93</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万分之一天平</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1.TFT液晶显示器，提供称量显示等信息；</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2.秤盘需采用完全拆卸式结构设计；</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3.包含显示模块、CPU数字处理模块、电磁机械传感器，模块部分需采用分离式结构设计；</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4.内置程序：可设置操作自动校正和去皮功能；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5.需采用电磁平衡式传感器；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6.需采用全铝制底座设计，防止低频震动，增强称量稳定性；</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RS232接口支持打印机和电脑连接；</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7.具备过载报警/故障报警功能；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8.实际分度值：0.1mg；</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9.最大称量范围：≥200g；</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10.可重复性标准偏差：≥0.0003g；</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11.校准砝码值：≥200g；</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12.天平的外形尺寸：≥360×205×330mm；</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13.秤盘尺寸：≥Ф80mm；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4</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94</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傅里叶变换红外光谱仪</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一、功能要求：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1.掌握傅立叶红外光谱仪（FTIR）的基本原理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理解迈克尔逊干涉仪的工作原理及傅立叶变换在红外光谱分析中的应用。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学习红外光谱的基本理论，包括分子振动模式与特征吸收峰的关系。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2.握仪器的开机、预热、校准（如波长校准、基线校正）等基本操作流程。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学习样品仓的使用方法，包括固体（KBr压片）、液体（液膜法）等不同样品的测试方式。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3.进行红外光谱的定性分析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通过标准谱库比对，鉴定未知样品的官能团及结构。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分析样品的特征吸收峰。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4.进行红外光谱的定量分析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利用软件的多组分定量功能，测定混</w:t>
            </w:r>
            <w:r w:rsidRPr="003C62FD">
              <w:rPr>
                <w:rFonts w:asciiTheme="minorEastAsia" w:hAnsiTheme="minorEastAsia" w:cs="宋体" w:hint="eastAsia"/>
                <w:kern w:val="0"/>
                <w:sz w:val="24"/>
                <w:szCs w:val="24"/>
              </w:rPr>
              <w:lastRenderedPageBreak/>
              <w:t xml:space="preserve">合物中各成分的相对含量。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学习标准曲线法在FTIR定量分析中的应用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5.评估仪器性能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验证仪器的稳定性，如基线漂移、杂散光干扰等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二、参数要求：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1.光谱范围：7800～350 cm</w:t>
            </w:r>
            <w:r w:rsidRPr="003C62FD">
              <w:rPr>
                <w:rFonts w:ascii="MS Gothic" w:eastAsia="MS Gothic" w:hAnsi="MS Gothic" w:cs="MS Gothic" w:hint="eastAsia"/>
                <w:kern w:val="0"/>
                <w:sz w:val="24"/>
                <w:szCs w:val="24"/>
              </w:rPr>
              <w:t>⁻</w:t>
            </w:r>
            <w:r w:rsidRPr="003C62FD">
              <w:rPr>
                <w:rFonts w:asciiTheme="minorEastAsia" w:hAnsiTheme="minorEastAsia" w:cs="宋体" w:hint="eastAsia"/>
                <w:kern w:val="0"/>
                <w:sz w:val="24"/>
                <w:szCs w:val="24"/>
              </w:rPr>
              <w:t xml:space="preserve">¹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2.分辨率：优于1.0 cm</w:t>
            </w:r>
            <w:r w:rsidRPr="003C62FD">
              <w:rPr>
                <w:rFonts w:ascii="MS Gothic" w:eastAsia="MS Gothic" w:hAnsi="MS Gothic" w:cs="MS Gothic" w:hint="eastAsia"/>
                <w:kern w:val="0"/>
                <w:sz w:val="24"/>
                <w:szCs w:val="24"/>
              </w:rPr>
              <w:t>⁻</w:t>
            </w:r>
            <w:r w:rsidRPr="003C62FD">
              <w:rPr>
                <w:rFonts w:asciiTheme="minorEastAsia" w:hAnsiTheme="minorEastAsia" w:cs="宋体" w:hint="eastAsia"/>
                <w:kern w:val="0"/>
                <w:sz w:val="24"/>
                <w:szCs w:val="24"/>
              </w:rPr>
              <w:t xml:space="preserve">¹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3.波数精度：≤0.01cm</w:t>
            </w:r>
            <w:r w:rsidRPr="003C62FD">
              <w:rPr>
                <w:rFonts w:ascii="MS Gothic" w:eastAsia="MS Gothic" w:hAnsi="MS Gothic" w:cs="MS Gothic" w:hint="eastAsia"/>
                <w:kern w:val="0"/>
                <w:sz w:val="24"/>
                <w:szCs w:val="24"/>
              </w:rPr>
              <w:t>⁻</w:t>
            </w:r>
            <w:r w:rsidRPr="003C62FD">
              <w:rPr>
                <w:rFonts w:asciiTheme="minorEastAsia" w:hAnsiTheme="minorEastAsia" w:cs="宋体" w:hint="eastAsia"/>
                <w:kern w:val="0"/>
                <w:sz w:val="24"/>
                <w:szCs w:val="24"/>
              </w:rPr>
              <w:t xml:space="preserve">¹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4.信噪比：优于15000:1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5.分束器：KBr 基片镀锗</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6.光源：高能量、高效率、长寿命陶瓷光源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7.干涉仪：非正交 Michelson 干涉仪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8.接收器：带有防潮膜的高灵敏度 DLATGS 接收器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9.数据传输接口：USB2.0（兼容 3.0）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10.支持系统：Windows XP、Windows Vista、Windows 7、Windows 8、Windows 10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11.尺寸:≥450mm×350mm×210 mm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12.重量：≥14Kg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13.需包含基础光路教学实训平台，了解光谱分析学的基本原理及应用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14.具备样品条件检测系统，可监控≥10种条件变化，来验证检测结果的变化</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15.密封高效干涉仪：具备≥30度入射角迈克尔逊干涉仪结构，具有优秀的能量效率；需采用带有防潮材料的分束器和密封窗片，减少湿气对仪器的伤害。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16.光学台主体需采用模具一次成型工艺，主要部件采用对针定位方式安装，无需调整；</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17.软件功能：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1）人机交互和操作引导设计：</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智能激光频率校正：激光频率校正方式采用一键自动校正，需能满足</w:t>
            </w:r>
            <w:r w:rsidRPr="003C62FD">
              <w:rPr>
                <w:rFonts w:asciiTheme="minorEastAsia" w:hAnsiTheme="minorEastAsia" w:cs="宋体" w:hint="eastAsia"/>
                <w:kern w:val="0"/>
                <w:sz w:val="24"/>
                <w:szCs w:val="24"/>
              </w:rPr>
              <w:lastRenderedPageBreak/>
              <w:t>《GB/T 21186-2007</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傅立叶变换红外光谱仪》国家标准和《JJF 1319-2011 傅立叶变换红外光谱仪校准规范》；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软件内具有≥1700种常见物质的谱图库，并具有各种专业的谱图库可供选择。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2）具备谱图检索功能：软件具有多种检索方式，如名称检索、谱图检索、文件检索、文件比较。需具备用户自建谱图库功能，可以随时添加谱图；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3）具备光谱数据采集预览全程监控模式，背景光谱和样品采集过程；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4）谱图数据处理能力：具有标峰、谱图与常数四则运算、谱图与谱图四则运算、ATR 校正、平滑、导数光谱等功能模块。</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18.系统需内置交互式分析软件，采用大屏幕LCD显示分析谱图，包含以下功能：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1）用户登录功能：控制进入系统，采集数据和使用各种方法；</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2）自我诊断功能：保证仪器状态和测试参数正确；</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3）数据处理功能：处理分析结果，包括标峰、峰面积积分、基线校准等操作；</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4）谱图匹配功能：比较未知样品谱图与标准谱图；</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5）标准报告模板：快速创建实验报告，打印实验报告；</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6）标准文件格式：保持实验结果，方便共享和处理；</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7）可选的宏软件：用流程图模块，来设计实验过程，无须复杂编程。</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95</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列管式烘干器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不小于30孔，需设有温度调节旋钮，电子电压控温方式，能以恒定的温度烘干玻璃器皿。</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电压(V):220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功率(W):≥800</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最高使用温度(°C):≥120</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96</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六孔水浴锅</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1.孔数：≥六孔，尺寸：≥500mm*310mm*130mm（±20mm）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2.功率：≥1500W；</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3.控温范围：室温+5℃～99.9℃，温度均匀性：±0.5℃，水温波动±0.5℃；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4.数显；</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5.控温系统：需采用微机PID智能控制。</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97</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旋转蒸发仪（自动）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一、功能要求：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1.水、油浴两用加热锅，容量≥5L；</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2.需具备独立控温，可单独使用，水、油浴两种加热模式切换；</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3.材质：铝合金；</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4.需具备定时和正反转间歇定时功能，转速范围20 -200 rpm；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5.需采用双层改性PTFE高弹性密封圈和压簧设计，保持密封性。</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二、参数要求：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1.电机类型：直流无刷电机</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2.转速范围：≥20-200rpm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3.显示屏：LED（速度/温度/时间）</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4.旋转方向：需具备顺时针和逆时针旋转</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5.温度范围：室温~180℃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6.温度控制精度：水浴：±1℃；油浴：±3℃</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7.加热功率：≥1200W</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8.升降行程手动：≥110mm 辅助延长≥100mm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9.正反转间歇时间设定：1~999 秒</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10.尺寸（深x宽x高）：主机：≥440×320×450 mm加热锅：≥300×300×240mm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11.允许环境温度范围：5~40°C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12.允许相对湿度：80%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13.外壳防护等级：IP20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14.USB接口：≥1个</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15.电压/频率：100~120/200~240V 50/60 Hz</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16.功率：≥1245W</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98</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200μL手动移液枪</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1.需采用耐热材料，支持整支紫外灭菌，支持整支高温（121℃）消毒灭菌；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2.需在-30℃~121℃环境下外观无形变，所有功能正常使用；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3.需采用侧面数字视窗，方便观察设定取液量程；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4.计数器具备自锁功能，防止非旋动碰触情况下计数器滑动而锁定量程；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5.具备防倒吸结构设计，主动防护误操作引起的设备损坏；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6.系统误差：≤1%（最大量程）；</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7.量程范围：20-200μL。</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99</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1000μL手动移液枪</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1.需采用耐热材料，支持整支紫外灭菌，支持整支高温（121℃）消毒灭菌；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2.需在-30℃~121℃环境下外观无形变，所有功能正常使用；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3.需采用侧面数字视窗，方便观察设定取液量程；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4.计数器具备自锁功能，防止非旋动碰触情况下计数器滑动而锁定量程；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5.具备防倒吸结构设计，主动防护误操作引起的设备损坏；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6.系统误差：≤1%（最大量程）；</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7.量程范围：100-1000μL。</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100</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5000μL手动移液枪</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1.需采用耐热材料，支持整支紫外灭菌，支持整支高温（121℃）消毒灭菌；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2.需在-30℃~121℃环境下外观无形变，所有功能正常使用；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3.需采用侧面数字视窗，方便观察设定取液量程；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4.计数器具备自锁功能，防止非旋动碰触情况下计数器滑动而锁定量程；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5.具备防倒吸结构设计，主动防护误操作引起的设备损坏；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6.系统误差：≤1%（最大量程）；</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7.量程范围：500-5000μL。</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6</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101</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加热磁力搅拌器</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1.需采用直流电机驱动；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2.一体成形铝合金加热搅拌平台；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3.工作盘尺寸：≥120×120mm；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4.搅拌容量：≥20-5000mL；</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5.搅拌速度：0-2000转/分，转速无级调速；</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6.加热温度：室温+5～380℃（加热温度可调）；</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7.防机械危险，耐机械冲击和撞击，符合实验室用电气设备的安全要求国家标准；</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8.工作电压：AC 220V/50Hz；加热功率：0～200W（可调）；额定功率205W；</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9.外观规格：≥240×130×90mm，辅助支架高度：≥300mm，重量：≥1.6kg。</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102</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超声波清洗仪</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1.材质：需采用耐腐蚀耐热材料，如不锈钢压花材质，加厚型内胆一次性冲压成型；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2.需采用数显控制系统，支持一键变波功能，支持智能脱气功能提高清洗效率；</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3.容量：≥30L；标配超声波功率≥600W/震头≥10个（支持增配超声波功率≥720W/震头≥12个，超声波功率≥900W/震头≥15个）；</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4、时间控制：1-99min可调；温度控制：室温-80℃可调，加热功率≥600W；超声频率：标配40KHz；</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5、尺寸：≥530×325×325mm；内槽尺寸：≥500×300×200mm。</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103</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水分测定仪</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1.测定方式：干燥减量法（加热干燥、质量测定方式）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2.样品量：不小于0.2--60g</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3.最小表示法：水分（固体）0.1%或者0.01%切换、质量≥0.001g</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4.测定单位 ：水分(重量、干点）、质量、固体水分</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5.测定范围：0-100%（重量、固体水分）</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0-500%（干点）</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6.标准偏差 ：样品量5g以上，≤0.05%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7.样品量10g以上，≤0.02%</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测定模式需具备：（1）自动停止模式；（2）定时停止模式（1-240分钟或者连续（最长12小时））；（3）快速干燥（自动停止或者定时停止，二者任选）；（4）缓速干燥（自动停止或者定时停止，二者任选）；（5）程序升温干燥模式（5级）；（6）预测（比较）测定模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9.温度设定范围：50-200℃（1℃间隔）</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10.显示方法：LCD液晶显示</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11.输出方式：RS-232接口</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12.通信接口 ：Windows直通视窗</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13.测定条件保存：≥10种</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14.数据储存：≥100组</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15.温湿度范围： 5-40℃、85%RH以下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16.热源 ：最大400W卤素管加热</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17.电源：AC100-120/220-240（50/60Hz)切换</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18.功率：最大400W</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19.外部尺寸：≥220（W）*415（D）*190（H）mm、4.5kg</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20.样品器皿：直径≥95mm</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21.需采用单体模块传感器</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104</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鼓风干燥箱</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外壳需采用冷轧钢板。箱门需设有观察窗，可随时观察工作室内物品的加热情况。本机温控系统需具有PID调节特性、时间设定、温差修正、超温报警等功能，内胆采用不锈钢材质。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1、工作室尺寸：≥550mm×450mm×550mm（±20mm）；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2、外形尺寸：≥710mm×560mm×770mm（±20mm）；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3、控温范围：室温≥+5℃-300℃；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4、温度波动：≤±1℃；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5、电源：≤AC220V±10%，50Hz±10%；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6、功率：≤2400w±2%；</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7、液晶显示，定时0-9999分钟。</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105</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教育用显微镜</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教育用显微镜是通过互动软件将智能终端设备、无线通讯技术与数码显微技术结合的产品，需具有高分辨率的数字图像，同时支持Android、iOS、Windows等操作系统，通过手机、平板电脑等智能终端即可实现实验教学。智能终端不应受种类、操作系统、品牌的限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一、功能描述：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1.需具备一键截屏功能：可一键实时记录课堂重要内容。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2.需具备实验记录功能：每一个实验步骤，每一个显微图像均可录像，实时记录整个上课过程。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3.需具备单机教学示范功能：可以连接到教师电脑、触控一体机、投影仪、电子白板、视频展示台等终端设备，进行实时实验教学操作。</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4.需具备语言选择功能：中英文可选，双语教学。</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 xml:space="preserve">5.需具备数字切片在线浏览模块，能够将中学教学所需的切片全盘数字化，方便教学。 </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6.需能根据高中生物学科教学指导要求，结合最新的教材，完成以下实验：                                                                                   用显微镜观察多种多样的细胞</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观察DNA和RNA在细胞中的分布</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用高倍镜观察叶绿体和线粒体</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观察植物细胞的质壁分离和复原</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观察根尖分生组织细胞的有丝分裂                                                                                                                                   观察细胞的减数分裂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低温诱导植物染色体数目的变化                                                                                                                        探究培养液中酵母菌种群数量的变化</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二、硬件参数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1．数码摄像系统需原厂设计制造，非双目改造为三目光学系统：无限远色差校正CCIS光学系统。需为环保P/b无铅玻璃材质，整机防霉。</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2．观察筒：铰链式双目筒；≥30度°</w:t>
            </w:r>
            <w:r w:rsidRPr="003C62FD">
              <w:rPr>
                <w:rFonts w:asciiTheme="minorEastAsia" w:hAnsiTheme="minorEastAsia" w:cs="宋体" w:hint="eastAsia"/>
                <w:kern w:val="0"/>
                <w:sz w:val="24"/>
                <w:szCs w:val="24"/>
              </w:rPr>
              <w:lastRenderedPageBreak/>
              <w:t>倾斜。倾斜式目镜筒作360度旋转时，目镜焦平面上像中心的位移≥0.35 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3．目镜：不小于WF PL 10X/20，视场直径为≥20MM。 双目系统左右两像面光谱色一致，明暗≥7.6%，双目系统左右光轴平行度垂直交叉≥13%。零视度时，左右系统的目镜端面位置差≥0.08mm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4．内倾式转换器：内定位转换器，孔数≥4。内定位设计，更换切片无需升、降载物台，避免了外倾式物镜转 换器使用过程中容易损伤物镜的种种操作不便。转换器 定位稳定性0.006mm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5．物镜：宽带镀膜平场物镜至少包含：4X、10X、20X、40X(弹簧）、60X(弹簧）、 100X(弹簧、油）≥10倍物镜景深范围内像面的偏摆：0.06mm;显微镜物镜放大率准确度不超过±2.5%.</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6．载物台：双层机械移动载物台，面积≥140*135(mm)；矩形台面, ≥76X50 (mm)范围可调，硬膜涂层表面，双切片夹，三角形全钢导轨，游标最小读数≥0.1mm。载物台侧向受5N水平方向作用力的最大位移≥0.010，载物台侧向受5N水平方向作用力的不重复性≥0.003mm。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7．调焦机构：粗微调同轴，左、右两侧均有粗微调手轮。 具有过载保护装置，调焦范围: ≥25mm，微调格值最小格值: ≥0.002mm。锁紧手轮来限位。</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聚光镜：阿贝式聚光镜，N.A.1.25。聚光镜不含塑料件，需为齿轮齿条升降。</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8．照明系统：N.A.1.253W LED冷光源照明，亮度可调。寿命N.A.1.2510000小时。集光镜座不能轻易取下，防止经常取下造成光路中</w:t>
            </w:r>
            <w:r w:rsidRPr="003C62FD">
              <w:rPr>
                <w:rFonts w:asciiTheme="minorEastAsia" w:hAnsiTheme="minorEastAsia" w:cs="宋体" w:hint="eastAsia"/>
                <w:kern w:val="0"/>
                <w:sz w:val="24"/>
                <w:szCs w:val="24"/>
              </w:rPr>
              <w:lastRenderedPageBreak/>
              <w:t>心的改变，而影响观察效果。</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9．为保证使用者安全性，不被高温烫伤，带有光源的仪器操作部位温度与室温之差≤7.0°C</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10．数码部分：静态≥1600万像素，动态分辨率≥1080P。需支持iOS、Android、Windows三种操作系统智能终端混合组网，同步操作</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11．数据传输:Wifi和有线网络传输同步进行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12．平板尺寸：≥9.7 寸</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分辨率：≥1920X1080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CPU：≥8 核</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运行内存：≥2G</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机身内存：≥8G</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三、软件参数要求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用户登录：用户使用时需首先登录，才能产生实验环境，从而进行图像操作。在实验中，用户对其创建的图像和数据的管理需是互相独立的，即一个用户可以创建多个实验，而每个实验又可以根据需要对不同图像进行操作。</w:t>
            </w:r>
            <w:r>
              <w:rPr>
                <w:rFonts w:asciiTheme="minorEastAsia" w:hAnsiTheme="minorEastAsia" w:cs="宋体" w:hint="eastAsia"/>
                <w:kern w:val="0"/>
                <w:sz w:val="24"/>
                <w:szCs w:val="24"/>
              </w:rPr>
              <w:t>（须</w:t>
            </w:r>
            <w:r w:rsidRPr="00DC732A">
              <w:rPr>
                <w:rFonts w:asciiTheme="minorEastAsia" w:hAnsiTheme="minorEastAsia" w:cs="宋体" w:hint="eastAsia"/>
                <w:kern w:val="0"/>
                <w:sz w:val="24"/>
                <w:szCs w:val="24"/>
              </w:rPr>
              <w:t>提供</w:t>
            </w:r>
            <w:r>
              <w:rPr>
                <w:rFonts w:asciiTheme="minorEastAsia" w:hAnsiTheme="minorEastAsia" w:cs="宋体" w:hint="eastAsia"/>
                <w:kern w:val="0"/>
                <w:sz w:val="24"/>
                <w:szCs w:val="24"/>
              </w:rPr>
              <w:t>软件</w:t>
            </w:r>
            <w:r w:rsidRPr="00DC732A">
              <w:rPr>
                <w:rFonts w:asciiTheme="minorEastAsia" w:hAnsiTheme="minorEastAsia" w:cs="宋体" w:hint="eastAsia"/>
                <w:kern w:val="0"/>
                <w:sz w:val="24"/>
                <w:szCs w:val="24"/>
              </w:rPr>
              <w:t>真实功能界面截图证明</w:t>
            </w:r>
            <w:r>
              <w:rPr>
                <w:rFonts w:asciiTheme="minorEastAsia" w:hAnsiTheme="minorEastAsia" w:cs="宋体" w:hint="eastAsia"/>
                <w:kern w:val="0"/>
                <w:sz w:val="24"/>
                <w:szCs w:val="24"/>
              </w:rPr>
              <w:t>材料，并</w:t>
            </w:r>
            <w:r w:rsidRPr="00DC732A">
              <w:rPr>
                <w:rFonts w:asciiTheme="minorEastAsia" w:hAnsiTheme="minorEastAsia" w:cs="宋体" w:hint="eastAsia"/>
                <w:kern w:val="0"/>
                <w:sz w:val="24"/>
                <w:szCs w:val="24"/>
              </w:rPr>
              <w:t>加盖制造商公章）</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2.空间校准：空间校准需可以获取不同放大倍数下同一物体实际尺寸与单位像素之间的比例，需可以分为手动校准和自动校准。</w:t>
            </w:r>
            <w:r>
              <w:rPr>
                <w:rFonts w:asciiTheme="minorEastAsia" w:hAnsiTheme="minorEastAsia" w:cs="宋体" w:hint="eastAsia"/>
                <w:kern w:val="0"/>
                <w:sz w:val="24"/>
                <w:szCs w:val="24"/>
              </w:rPr>
              <w:t>（须</w:t>
            </w:r>
            <w:r w:rsidRPr="00DC732A">
              <w:rPr>
                <w:rFonts w:asciiTheme="minorEastAsia" w:hAnsiTheme="minorEastAsia" w:cs="宋体" w:hint="eastAsia"/>
                <w:kern w:val="0"/>
                <w:sz w:val="24"/>
                <w:szCs w:val="24"/>
              </w:rPr>
              <w:t>提供</w:t>
            </w:r>
            <w:r>
              <w:rPr>
                <w:rFonts w:asciiTheme="minorEastAsia" w:hAnsiTheme="minorEastAsia" w:cs="宋体" w:hint="eastAsia"/>
                <w:kern w:val="0"/>
                <w:sz w:val="24"/>
                <w:szCs w:val="24"/>
              </w:rPr>
              <w:t>软件</w:t>
            </w:r>
            <w:r w:rsidRPr="00DC732A">
              <w:rPr>
                <w:rFonts w:asciiTheme="minorEastAsia" w:hAnsiTheme="minorEastAsia" w:cs="宋体" w:hint="eastAsia"/>
                <w:kern w:val="0"/>
                <w:sz w:val="24"/>
                <w:szCs w:val="24"/>
              </w:rPr>
              <w:t>真实功能界面截图证明</w:t>
            </w:r>
            <w:r>
              <w:rPr>
                <w:rFonts w:asciiTheme="minorEastAsia" w:hAnsiTheme="minorEastAsia" w:cs="宋体" w:hint="eastAsia"/>
                <w:kern w:val="0"/>
                <w:sz w:val="24"/>
                <w:szCs w:val="24"/>
              </w:rPr>
              <w:t>材料，并</w:t>
            </w:r>
            <w:r w:rsidRPr="00DC732A">
              <w:rPr>
                <w:rFonts w:asciiTheme="minorEastAsia" w:hAnsiTheme="minorEastAsia" w:cs="宋体" w:hint="eastAsia"/>
                <w:kern w:val="0"/>
                <w:sz w:val="24"/>
                <w:szCs w:val="24"/>
              </w:rPr>
              <w:t>加盖制造商公章）</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光密度校准：需可以获取不同光学系统下同一物体单位灰度值与光密度之间的比例，能使分析结果中的灰度值转化为光密度单位，从而得到更直观的结果。在分析之前需先进行光密度校准，以便应用光密度校准。</w:t>
            </w:r>
            <w:r>
              <w:rPr>
                <w:rFonts w:asciiTheme="minorEastAsia" w:hAnsiTheme="minorEastAsia" w:cs="宋体" w:hint="eastAsia"/>
                <w:kern w:val="0"/>
                <w:sz w:val="24"/>
                <w:szCs w:val="24"/>
              </w:rPr>
              <w:t>（须</w:t>
            </w:r>
            <w:r w:rsidRPr="00DC732A">
              <w:rPr>
                <w:rFonts w:asciiTheme="minorEastAsia" w:hAnsiTheme="minorEastAsia" w:cs="宋体" w:hint="eastAsia"/>
                <w:kern w:val="0"/>
                <w:sz w:val="24"/>
                <w:szCs w:val="24"/>
              </w:rPr>
              <w:t>提供</w:t>
            </w:r>
            <w:r>
              <w:rPr>
                <w:rFonts w:asciiTheme="minorEastAsia" w:hAnsiTheme="minorEastAsia" w:cs="宋体" w:hint="eastAsia"/>
                <w:kern w:val="0"/>
                <w:sz w:val="24"/>
                <w:szCs w:val="24"/>
              </w:rPr>
              <w:t>软件</w:t>
            </w:r>
            <w:r w:rsidRPr="00DC732A">
              <w:rPr>
                <w:rFonts w:asciiTheme="minorEastAsia" w:hAnsiTheme="minorEastAsia" w:cs="宋体" w:hint="eastAsia"/>
                <w:kern w:val="0"/>
                <w:sz w:val="24"/>
                <w:szCs w:val="24"/>
              </w:rPr>
              <w:t>真实功能界面截图证明</w:t>
            </w:r>
            <w:r>
              <w:rPr>
                <w:rFonts w:asciiTheme="minorEastAsia" w:hAnsiTheme="minorEastAsia" w:cs="宋体" w:hint="eastAsia"/>
                <w:kern w:val="0"/>
                <w:sz w:val="24"/>
                <w:szCs w:val="24"/>
              </w:rPr>
              <w:t>材料，并</w:t>
            </w:r>
            <w:r w:rsidRPr="00DC732A">
              <w:rPr>
                <w:rFonts w:asciiTheme="minorEastAsia" w:hAnsiTheme="minorEastAsia" w:cs="宋体" w:hint="eastAsia"/>
                <w:kern w:val="0"/>
                <w:sz w:val="24"/>
                <w:szCs w:val="24"/>
              </w:rPr>
              <w:t>加盖制造商公章）</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4.算数运算：需可以通过选择算术运算算子和输入操作数来对图像进行</w:t>
            </w:r>
            <w:r w:rsidRPr="003C62FD">
              <w:rPr>
                <w:rFonts w:asciiTheme="minorEastAsia" w:hAnsiTheme="minorEastAsia" w:cs="宋体" w:hint="eastAsia"/>
                <w:kern w:val="0"/>
                <w:sz w:val="24"/>
                <w:szCs w:val="24"/>
              </w:rPr>
              <w:lastRenderedPageBreak/>
              <w:t>处理。</w:t>
            </w:r>
            <w:r>
              <w:rPr>
                <w:rFonts w:asciiTheme="minorEastAsia" w:hAnsiTheme="minorEastAsia" w:cs="宋体" w:hint="eastAsia"/>
                <w:kern w:val="0"/>
                <w:sz w:val="24"/>
                <w:szCs w:val="24"/>
              </w:rPr>
              <w:t>（须</w:t>
            </w:r>
            <w:r w:rsidRPr="00DC732A">
              <w:rPr>
                <w:rFonts w:asciiTheme="minorEastAsia" w:hAnsiTheme="minorEastAsia" w:cs="宋体" w:hint="eastAsia"/>
                <w:kern w:val="0"/>
                <w:sz w:val="24"/>
                <w:szCs w:val="24"/>
              </w:rPr>
              <w:t>提供</w:t>
            </w:r>
            <w:r>
              <w:rPr>
                <w:rFonts w:asciiTheme="minorEastAsia" w:hAnsiTheme="minorEastAsia" w:cs="宋体" w:hint="eastAsia"/>
                <w:kern w:val="0"/>
                <w:sz w:val="24"/>
                <w:szCs w:val="24"/>
              </w:rPr>
              <w:t>软件</w:t>
            </w:r>
            <w:r w:rsidRPr="00DC732A">
              <w:rPr>
                <w:rFonts w:asciiTheme="minorEastAsia" w:hAnsiTheme="minorEastAsia" w:cs="宋体" w:hint="eastAsia"/>
                <w:kern w:val="0"/>
                <w:sz w:val="24"/>
                <w:szCs w:val="24"/>
              </w:rPr>
              <w:t>真实功能界面截图证明</w:t>
            </w:r>
            <w:r>
              <w:rPr>
                <w:rFonts w:asciiTheme="minorEastAsia" w:hAnsiTheme="minorEastAsia" w:cs="宋体" w:hint="eastAsia"/>
                <w:kern w:val="0"/>
                <w:sz w:val="24"/>
                <w:szCs w:val="24"/>
              </w:rPr>
              <w:t>材料，并</w:t>
            </w:r>
            <w:r w:rsidRPr="00DC732A">
              <w:rPr>
                <w:rFonts w:asciiTheme="minorEastAsia" w:hAnsiTheme="minorEastAsia" w:cs="宋体" w:hint="eastAsia"/>
                <w:kern w:val="0"/>
                <w:sz w:val="24"/>
                <w:szCs w:val="24"/>
              </w:rPr>
              <w:t>加盖制造商公章）</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5.代数运算：代数运算显示两幅图像之间的代数运算，用户需可以从图像列表中选择一幅图像与当前编辑窗中的图像进行运算。</w:t>
            </w:r>
            <w:r>
              <w:rPr>
                <w:rFonts w:asciiTheme="minorEastAsia" w:hAnsiTheme="minorEastAsia" w:cs="宋体" w:hint="eastAsia"/>
                <w:kern w:val="0"/>
                <w:sz w:val="24"/>
                <w:szCs w:val="24"/>
              </w:rPr>
              <w:t>（须</w:t>
            </w:r>
            <w:r w:rsidRPr="00DC732A">
              <w:rPr>
                <w:rFonts w:asciiTheme="minorEastAsia" w:hAnsiTheme="minorEastAsia" w:cs="宋体" w:hint="eastAsia"/>
                <w:kern w:val="0"/>
                <w:sz w:val="24"/>
                <w:szCs w:val="24"/>
              </w:rPr>
              <w:t>提供</w:t>
            </w:r>
            <w:r>
              <w:rPr>
                <w:rFonts w:asciiTheme="minorEastAsia" w:hAnsiTheme="minorEastAsia" w:cs="宋体" w:hint="eastAsia"/>
                <w:kern w:val="0"/>
                <w:sz w:val="24"/>
                <w:szCs w:val="24"/>
              </w:rPr>
              <w:t>软件</w:t>
            </w:r>
            <w:r w:rsidRPr="00DC732A">
              <w:rPr>
                <w:rFonts w:asciiTheme="minorEastAsia" w:hAnsiTheme="minorEastAsia" w:cs="宋体" w:hint="eastAsia"/>
                <w:kern w:val="0"/>
                <w:sz w:val="24"/>
                <w:szCs w:val="24"/>
              </w:rPr>
              <w:t>真实功能界面截图证明</w:t>
            </w:r>
            <w:r>
              <w:rPr>
                <w:rFonts w:asciiTheme="minorEastAsia" w:hAnsiTheme="minorEastAsia" w:cs="宋体" w:hint="eastAsia"/>
                <w:kern w:val="0"/>
                <w:sz w:val="24"/>
                <w:szCs w:val="24"/>
              </w:rPr>
              <w:t>材料，并</w:t>
            </w:r>
            <w:r w:rsidRPr="00DC732A">
              <w:rPr>
                <w:rFonts w:asciiTheme="minorEastAsia" w:hAnsiTheme="minorEastAsia" w:cs="宋体" w:hint="eastAsia"/>
                <w:kern w:val="0"/>
                <w:sz w:val="24"/>
                <w:szCs w:val="24"/>
              </w:rPr>
              <w:t>加盖制造商公章）</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6.图像二值化：</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(1)二值分割：是由图像处理到图像分析的关键步骤，其支持对整幅图像和ROI区域的操作。本模块需可以对图像进行灰度分割和彩色分割的功能；分割后生成二值图形</w:t>
            </w:r>
            <w:r>
              <w:rPr>
                <w:rFonts w:asciiTheme="minorEastAsia" w:hAnsiTheme="minorEastAsia" w:cs="宋体" w:hint="eastAsia"/>
                <w:kern w:val="0"/>
                <w:sz w:val="24"/>
                <w:szCs w:val="24"/>
              </w:rPr>
              <w:t>。</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(2)二值显示：选择所要显示的图层，可同时显示多层。若不同层的图形存在叠加的情况时，则会显示叠加后的颜色。</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(3)二值形态学：需可以分离或合并二值图形的特征目标，从而达到用户的分析需求。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二值图形处理：</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(4)二值变化：实现二值图形与当前图像之间的相互转化。二值细化：本模块用于提取图形的骨架部分，突出形状特  点和减少冗余信息。图像批处理：图像批处理针对一系列的图像进行相同的操作，方便用户进行大量图像的处理。</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7.直方图：需提供直方图窗口，用来显示图像全图或选定ROI区域像素灰度级的分布情况，不会影响原图像，有助于颜色调整。其横坐标表示的是图像的灰度级别，纵坐标表示的是该灰度出现的频率。</w:t>
            </w:r>
            <w:r>
              <w:rPr>
                <w:rFonts w:asciiTheme="minorEastAsia" w:hAnsiTheme="minorEastAsia" w:cs="宋体" w:hint="eastAsia"/>
                <w:kern w:val="0"/>
                <w:sz w:val="24"/>
                <w:szCs w:val="24"/>
              </w:rPr>
              <w:t>（须</w:t>
            </w:r>
            <w:r w:rsidRPr="00DC732A">
              <w:rPr>
                <w:rFonts w:asciiTheme="minorEastAsia" w:hAnsiTheme="minorEastAsia" w:cs="宋体" w:hint="eastAsia"/>
                <w:kern w:val="0"/>
                <w:sz w:val="24"/>
                <w:szCs w:val="24"/>
              </w:rPr>
              <w:t>提供</w:t>
            </w:r>
            <w:r>
              <w:rPr>
                <w:rFonts w:asciiTheme="minorEastAsia" w:hAnsiTheme="minorEastAsia" w:cs="宋体" w:hint="eastAsia"/>
                <w:kern w:val="0"/>
                <w:sz w:val="24"/>
                <w:szCs w:val="24"/>
              </w:rPr>
              <w:t>软件</w:t>
            </w:r>
            <w:r w:rsidRPr="00DC732A">
              <w:rPr>
                <w:rFonts w:asciiTheme="minorEastAsia" w:hAnsiTheme="minorEastAsia" w:cs="宋体" w:hint="eastAsia"/>
                <w:kern w:val="0"/>
                <w:sz w:val="24"/>
                <w:szCs w:val="24"/>
              </w:rPr>
              <w:t>真实功能界面截图证明</w:t>
            </w:r>
            <w:r>
              <w:rPr>
                <w:rFonts w:asciiTheme="minorEastAsia" w:hAnsiTheme="minorEastAsia" w:cs="宋体" w:hint="eastAsia"/>
                <w:kern w:val="0"/>
                <w:sz w:val="24"/>
                <w:szCs w:val="24"/>
              </w:rPr>
              <w:t>材料，并</w:t>
            </w:r>
            <w:r w:rsidRPr="00DC732A">
              <w:rPr>
                <w:rFonts w:asciiTheme="minorEastAsia" w:hAnsiTheme="minorEastAsia" w:cs="宋体" w:hint="eastAsia"/>
                <w:kern w:val="0"/>
                <w:sz w:val="24"/>
                <w:szCs w:val="24"/>
              </w:rPr>
              <w:t>加盖制造商公章）</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8.3D绘制：需提供3D绘制窗口模块，用来进行当前相册图像该的3D绘制分析。</w:t>
            </w:r>
            <w:r>
              <w:rPr>
                <w:rFonts w:asciiTheme="minorEastAsia" w:hAnsiTheme="minorEastAsia" w:cs="宋体" w:hint="eastAsia"/>
                <w:kern w:val="0"/>
                <w:sz w:val="24"/>
                <w:szCs w:val="24"/>
              </w:rPr>
              <w:t>（须</w:t>
            </w:r>
            <w:r w:rsidRPr="00DC732A">
              <w:rPr>
                <w:rFonts w:asciiTheme="minorEastAsia" w:hAnsiTheme="minorEastAsia" w:cs="宋体" w:hint="eastAsia"/>
                <w:kern w:val="0"/>
                <w:sz w:val="24"/>
                <w:szCs w:val="24"/>
              </w:rPr>
              <w:t>提供</w:t>
            </w:r>
            <w:r>
              <w:rPr>
                <w:rFonts w:asciiTheme="minorEastAsia" w:hAnsiTheme="minorEastAsia" w:cs="宋体" w:hint="eastAsia"/>
                <w:kern w:val="0"/>
                <w:sz w:val="24"/>
                <w:szCs w:val="24"/>
              </w:rPr>
              <w:t>软件</w:t>
            </w:r>
            <w:r w:rsidRPr="00DC732A">
              <w:rPr>
                <w:rFonts w:asciiTheme="minorEastAsia" w:hAnsiTheme="minorEastAsia" w:cs="宋体" w:hint="eastAsia"/>
                <w:kern w:val="0"/>
                <w:sz w:val="24"/>
                <w:szCs w:val="24"/>
              </w:rPr>
              <w:t>真实功能界面截图证明</w:t>
            </w:r>
            <w:r>
              <w:rPr>
                <w:rFonts w:asciiTheme="minorEastAsia" w:hAnsiTheme="minorEastAsia" w:cs="宋体" w:hint="eastAsia"/>
                <w:kern w:val="0"/>
                <w:sz w:val="24"/>
                <w:szCs w:val="24"/>
              </w:rPr>
              <w:t>材料，并</w:t>
            </w:r>
            <w:r w:rsidRPr="00DC732A">
              <w:rPr>
                <w:rFonts w:asciiTheme="minorEastAsia" w:hAnsiTheme="minorEastAsia" w:cs="宋体" w:hint="eastAsia"/>
                <w:kern w:val="0"/>
                <w:sz w:val="24"/>
                <w:szCs w:val="24"/>
              </w:rPr>
              <w:t>加盖制造商公章）</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lastRenderedPageBreak/>
              <w:t>9.3D渲染：3D渲染窗口将弹出一个用于处理3D图像的程序。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10.图像处理：调整、镜像、反转、白平衡、改变图像尺寸、三维化显示、放大镜、平滑、低通波、高通滤波、灰度形态学、直方图均衡、发现边缘、自定义滤波器；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11.序列分析：包括，序列回放、动画输出、序列投影、区域序列分析、图像多焦面合并;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12.图像分析。包括：点分析、手动分析，手动测量、多视场分析、单目标分析、剖面分析、二值图形形态分析、区域亮度分析、区域相关分析。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13图像管理：对图像文件进行新建、打开、编辑、保存、打印报告及相册管理；14.可对实时图像进行捕捉、间隔捕捉、录像；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15.支持20X20张图像的拼接。</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四：需配套数字切片在线浏览系统</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1.数字切片对比浏览：</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需能同时在电脑屏幕的左、右两侧显示2张动态数字切片；</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2.在教室联接互联网数字切片观察：</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用户需能用任意一台联接互联网的电脑，访问厂家的数字切片库资源。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3.需能实时浏览玻璃切片数字化后的专业数字切片文件。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数字化切片应包含玻璃切片4×、10×、20×、40×等不同倍率物镜下可观察到的全部信息。</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4.需支持无极变倍：</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切片浏览系统对数字切片进行1-100倍任意倍数的无极变倍。</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5.标记、隐藏标记操作：</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4</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106</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真空抽滤套装</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1.真空膜需采用橡胶材质，并附有加强纺织骨架夹层，厚度不小于3mm；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2.流量：≥11L/min；</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3.压力：≥0.08Map；</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4.功率：≤80W。</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107</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视频熔点仪</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一、设备用途：</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用于化学工业、医药研究、食品等，测量生产药物、香料、染料及其他有机晶体物质熔点指标，可视频观察熔化过程。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二、功能参数：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1.需能将视频技术融入到熔点测量，通过彩色显示屏轻松观看样品变化过程，视频上显示水印实时温度及时间。</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2.需支持半自动模式测量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3.全面的一体化保温设计，可抵抗外界环境对实验过程的干扰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4.具备最大6点校准功能，可通过标准物质进行多个温度点的校准</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5.室温升至350℃以上≤5min   350℃降至50℃以下≤7min</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6.测温范围：室温—300℃ ，需采用PID控温技术</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7.温度分辨率：0.1℃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8.重复性：≤0.2℃（升温速率为0.20℃/min）</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9.准确度：≤±0.4℃（&lt;200℃） ≤±0.7℃（&lt;300℃）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10.升温速率： 0.1℃--20℃</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11.数据接口：USB≥3个,RS232≥1个，需具备Wi-Fi功能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12.视频数据储存：≥16G，需支持U盘备份和还原功能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13.放大倍数：≥8倍</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14.处理能力：≥4个/批</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15.视频功能：摄像，连续摄像时间：40分钟</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16.显示方式：≥8寸电容屏显示</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17.电源：220 V±10% 50HZ</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18.额定功率：≥120W</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19.外形尺寸（长X宽X高）：≥305mmX220mmX230mm</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20.需可连接USB打印机、针式打印机或U盘导出实验报告，仪器后置接口实现针式打印、U盘导出等各类导</w:t>
            </w:r>
            <w:r w:rsidRPr="003C62FD">
              <w:rPr>
                <w:rFonts w:asciiTheme="minorEastAsia" w:hAnsiTheme="minorEastAsia" w:cs="宋体" w:hint="eastAsia"/>
                <w:kern w:val="0"/>
                <w:sz w:val="24"/>
                <w:szCs w:val="24"/>
              </w:rPr>
              <w:lastRenderedPageBreak/>
              <w:t>出方式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三、配置要求：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视频熔点仪主机≥1台</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毛细管≥一包</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1</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r w:rsidR="00150FBB" w:rsidRPr="003C62FD" w:rsidTr="00D9153A">
        <w:trPr>
          <w:trHeight w:val="710"/>
        </w:trPr>
        <w:tc>
          <w:tcPr>
            <w:tcW w:w="395"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108</w:t>
            </w:r>
          </w:p>
        </w:tc>
        <w:tc>
          <w:tcPr>
            <w:tcW w:w="979" w:type="pct"/>
            <w:shd w:val="clear" w:color="auto" w:fill="auto"/>
            <w:vAlign w:val="center"/>
            <w:hideMark/>
          </w:tcPr>
          <w:p w:rsidR="00150FBB" w:rsidRPr="003C62FD" w:rsidRDefault="00150FBB" w:rsidP="007959CB">
            <w:pPr>
              <w:widowControl/>
              <w:jc w:val="center"/>
              <w:rPr>
                <w:rFonts w:asciiTheme="minorEastAsia" w:hAnsiTheme="minorEastAsia" w:cs="宋体"/>
                <w:kern w:val="0"/>
                <w:sz w:val="24"/>
                <w:szCs w:val="24"/>
              </w:rPr>
            </w:pPr>
            <w:r w:rsidRPr="003C62FD">
              <w:rPr>
                <w:rFonts w:asciiTheme="minorEastAsia" w:hAnsiTheme="minorEastAsia" w:cs="宋体" w:hint="eastAsia"/>
                <w:kern w:val="0"/>
                <w:sz w:val="24"/>
                <w:szCs w:val="24"/>
              </w:rPr>
              <w:t>全自动电位滴定仪</w:t>
            </w:r>
          </w:p>
        </w:tc>
        <w:tc>
          <w:tcPr>
            <w:tcW w:w="2230" w:type="pct"/>
            <w:shd w:val="clear" w:color="auto" w:fill="auto"/>
            <w:vAlign w:val="center"/>
            <w:hideMark/>
          </w:tcPr>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一、设备用途：</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用于检测食品、粮油、药品、谷物、农业、水产品、乳制品、化工、土壤、水质、植物、肥料、动物饲料、烟草、环境监测等样品中酸价、过氧化值、脂肪酸、氯离子、COD、酸度等指标。</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二、功能参数：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1.需采用一体化设计，整机防泼溅水，滴定平台需具备液体引流设计，防止液体的沉积与渗透。</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2.≥7寸彩色电容屏，安卓操作系统，模块化操作界面，多状态指示灯。</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3.需支持等量滴定、动态滴定、终点滴定等滴定模式，可进行酸碱滴定、沉淀滴定、非水滴定、氧化还原滴定、络合滴定等滴定类型。</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4.mV测量范围：≥-2000.0mV～+2000.0mV，分辨率≤0.1mV，精度≤0.1mV±0.03%</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5.pH测量范围：≥-20.000pH～+20.000pH，分辨率≤0.001pH ，精度≤0.003pH</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6.温度测温范围：≥-5～120℃，测量精度：≤±0.1℃</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7.滴定管规格：不小于10mL，可选配5mL,25mL，滴定管的分辨率：≤1/48000，滴定管补液时间：≤16秒（100％充液速度），可允许最小添加体积设置：0.001mL，滴定管避光保护罩。</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8.需具备滴定试剂瓶密封盖，可以填充有效隔离吸附材料，保证滴定剂不被空气污染或滴定剂向外散发气味。</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9.无死体积旋转阀，耐腐PTFE管路，需可选配滴定管防扩散组件。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10.需可查看所有滴定节点的详细数据，支持手动设置终点并另存为关联</w:t>
            </w:r>
            <w:r w:rsidRPr="003C62FD">
              <w:rPr>
                <w:rFonts w:asciiTheme="minorEastAsia" w:hAnsiTheme="minorEastAsia" w:cs="宋体" w:hint="eastAsia"/>
                <w:kern w:val="0"/>
                <w:sz w:val="24"/>
                <w:szCs w:val="24"/>
              </w:rPr>
              <w:lastRenderedPageBreak/>
              <w:t>数据，减少不必要的反复室验。</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11.需支持当前滴定测试时可查看历史数据。</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12.需具备自动配液功能，可设置加液体积、加液间隔、加液次数，进行液体配制。</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13. 需具备公式库管理，可储存多种计算公式快速调用；自定义公式编辑器功能，复杂的计算也可自行计算出需要的结果。</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14.需可导出PDF和Excel格式的详细和列表结果，支持无线A4打印和有线串口针式打印。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15.需可进行多重自检功能，具备pH电极校准功能, 滴定管校准功能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16.需具备方法库，可储存应用方案，并实现一键调用；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17.需具备试剂库管理功能，可储存试剂标定时间及设定有效期到期提醒。</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18.储存空间：≥4G，具备多级检索功能。</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19.需具备至少4级权限管理功能，超级管理员、主管、操作员、IT，再根据账户需求赋予自定义的角色权限。</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20.需具备密码老化功能，每个账户可设定密码有效期，到期后强制要求更改密码后才可登录仪器。</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21.需具备密码复杂程度设定，可根据需求设置密码复杂程度。</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22.接口类型：mv/pH测量电极接口≥1个、参比电极接口≥1个、PT1000温度电极接口≥1个、USB≥2个、RS232≥1个、电源接口≥1个。</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三、配置要求：</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全自动电位滴定仪主机≥1台</w:t>
            </w:r>
          </w:p>
          <w:p w:rsidR="00150FBB"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滴定杯≥2个</w:t>
            </w:r>
          </w:p>
          <w:p w:rsidR="00150FBB" w:rsidRPr="003C62FD" w:rsidRDefault="00150FBB" w:rsidP="007959CB">
            <w:pPr>
              <w:widowControl/>
              <w:jc w:val="left"/>
              <w:rPr>
                <w:rFonts w:asciiTheme="minorEastAsia" w:hAnsiTheme="minorEastAsia" w:cs="宋体"/>
                <w:kern w:val="0"/>
                <w:sz w:val="24"/>
                <w:szCs w:val="24"/>
              </w:rPr>
            </w:pPr>
            <w:r w:rsidRPr="003C62FD">
              <w:rPr>
                <w:rFonts w:asciiTheme="minorEastAsia" w:hAnsiTheme="minorEastAsia" w:cs="宋体" w:hint="eastAsia"/>
                <w:kern w:val="0"/>
                <w:sz w:val="24"/>
                <w:szCs w:val="24"/>
              </w:rPr>
              <w:t>玻璃PH复合电极≥1根</w:t>
            </w:r>
          </w:p>
        </w:tc>
        <w:tc>
          <w:tcPr>
            <w:tcW w:w="343"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lastRenderedPageBreak/>
              <w:t>套</w:t>
            </w:r>
          </w:p>
        </w:tc>
        <w:tc>
          <w:tcPr>
            <w:tcW w:w="316"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2</w:t>
            </w:r>
          </w:p>
        </w:tc>
        <w:tc>
          <w:tcPr>
            <w:tcW w:w="737" w:type="pct"/>
            <w:shd w:val="clear" w:color="auto" w:fill="auto"/>
            <w:vAlign w:val="center"/>
            <w:hideMark/>
          </w:tcPr>
          <w:p w:rsidR="00150FBB" w:rsidRPr="003C62FD" w:rsidRDefault="00150FBB" w:rsidP="007959CB">
            <w:pPr>
              <w:widowControl/>
              <w:jc w:val="center"/>
              <w:rPr>
                <w:rFonts w:asciiTheme="minorEastAsia" w:hAnsiTheme="minorEastAsia" w:cs="宋体"/>
                <w:color w:val="000000"/>
                <w:kern w:val="0"/>
                <w:sz w:val="24"/>
                <w:szCs w:val="24"/>
              </w:rPr>
            </w:pPr>
            <w:r w:rsidRPr="003C62FD">
              <w:rPr>
                <w:rFonts w:asciiTheme="minorEastAsia" w:hAnsiTheme="minorEastAsia" w:cs="宋体" w:hint="eastAsia"/>
                <w:color w:val="000000"/>
                <w:kern w:val="0"/>
                <w:sz w:val="24"/>
                <w:szCs w:val="24"/>
              </w:rPr>
              <w:t>否</w:t>
            </w:r>
          </w:p>
        </w:tc>
      </w:tr>
    </w:tbl>
    <w:p w:rsidR="00D9153A" w:rsidRDefault="00D9153A" w:rsidP="00D9153A">
      <w:r>
        <w:rPr>
          <w:rFonts w:hint="eastAsia"/>
        </w:rPr>
        <w:lastRenderedPageBreak/>
        <w:t>注：</w:t>
      </w:r>
    </w:p>
    <w:p w:rsidR="00D9153A" w:rsidRDefault="00D9153A" w:rsidP="009A4728">
      <w:pPr>
        <w:ind w:firstLineChars="200" w:firstLine="420"/>
      </w:pPr>
      <w:r>
        <w:rPr>
          <w:rFonts w:hint="eastAsia"/>
        </w:rPr>
        <w:t>加注“▲”号的产品为核心产品（如未明确核心产品，则视为全部产品均为核心产品），</w:t>
      </w:r>
      <w:r>
        <w:rPr>
          <w:rFonts w:hint="eastAsia"/>
        </w:rPr>
        <w:lastRenderedPageBreak/>
        <w:t>任意一种核心产品为同一品牌时，按照第三部分第</w:t>
      </w:r>
      <w:r>
        <w:rPr>
          <w:rFonts w:hint="eastAsia"/>
        </w:rPr>
        <w:t>32.4</w:t>
      </w:r>
      <w:r>
        <w:rPr>
          <w:rFonts w:hint="eastAsia"/>
        </w:rPr>
        <w:t>条款执行。</w:t>
      </w:r>
    </w:p>
    <w:p w:rsidR="00BD74E4" w:rsidRDefault="00D9153A" w:rsidP="009A4728">
      <w:pPr>
        <w:ind w:firstLineChars="200" w:firstLine="420"/>
      </w:pPr>
      <w:r>
        <w:rPr>
          <w:rFonts w:hint="eastAsia"/>
        </w:rPr>
        <w:t>加注“■”号的产品属于现行节能产品政府采购强制采购的产品，投标人只能选择符合按照《关于调整优化节能产品、环境标志产品政府采购执行机制的通知》（财库〔</w:t>
      </w:r>
      <w:r>
        <w:rPr>
          <w:rFonts w:hint="eastAsia"/>
        </w:rPr>
        <w:t>2019</w:t>
      </w:r>
      <w:r>
        <w:rPr>
          <w:rFonts w:hint="eastAsia"/>
        </w:rPr>
        <w:t>〕</w:t>
      </w:r>
      <w:r>
        <w:rPr>
          <w:rFonts w:hint="eastAsia"/>
        </w:rPr>
        <w:t>9</w:t>
      </w:r>
      <w:r>
        <w:rPr>
          <w:rFonts w:hint="eastAsia"/>
        </w:rPr>
        <w:t>号）、《关于印发环境标志产品政府采购品目清单的通知》（财库〔</w:t>
      </w:r>
      <w:r>
        <w:rPr>
          <w:rFonts w:hint="eastAsia"/>
        </w:rPr>
        <w:t>2019</w:t>
      </w:r>
      <w:r>
        <w:rPr>
          <w:rFonts w:hint="eastAsia"/>
        </w:rPr>
        <w:t>〕</w:t>
      </w:r>
      <w:r>
        <w:rPr>
          <w:rFonts w:hint="eastAsia"/>
        </w:rPr>
        <w:t>18</w:t>
      </w:r>
      <w:r>
        <w:rPr>
          <w:rFonts w:hint="eastAsia"/>
        </w:rPr>
        <w:t>号）、《关于印发节能产品政府采购品目清单的通知》（财库〔</w:t>
      </w:r>
      <w:r>
        <w:rPr>
          <w:rFonts w:hint="eastAsia"/>
        </w:rPr>
        <w:t>2019</w:t>
      </w:r>
      <w:r>
        <w:rPr>
          <w:rFonts w:hint="eastAsia"/>
        </w:rPr>
        <w:t>〕</w:t>
      </w:r>
      <w:r>
        <w:rPr>
          <w:rFonts w:hint="eastAsia"/>
        </w:rPr>
        <w:t>19</w:t>
      </w:r>
      <w:r>
        <w:rPr>
          <w:rFonts w:hint="eastAsia"/>
        </w:rPr>
        <w:t>号）、《市场监管总局关于发布参与实施政府采购节能产品、环境标志产品认证机构名录的公告》（</w:t>
      </w:r>
      <w:r>
        <w:rPr>
          <w:rFonts w:hint="eastAsia"/>
        </w:rPr>
        <w:t>2019</w:t>
      </w:r>
      <w:r>
        <w:rPr>
          <w:rFonts w:hint="eastAsia"/>
        </w:rPr>
        <w:t>年第</w:t>
      </w:r>
      <w:r>
        <w:rPr>
          <w:rFonts w:hint="eastAsia"/>
        </w:rPr>
        <w:t>16</w:t>
      </w:r>
      <w:r>
        <w:rPr>
          <w:rFonts w:hint="eastAsia"/>
        </w:rPr>
        <w:t>号）等文件要求的强制采购的节能产品进行投标，并提供相关认证证书扫描件，否则不予认定。未加注“■”号的产品均不属于节能产品政府采购强制采购的产品。如供应商对此有异议，请按照招标文件第三部分《投标须知》“</w:t>
      </w:r>
      <w:r>
        <w:rPr>
          <w:rFonts w:hint="eastAsia"/>
        </w:rPr>
        <w:t xml:space="preserve">8. </w:t>
      </w:r>
      <w:r>
        <w:rPr>
          <w:rFonts w:hint="eastAsia"/>
        </w:rPr>
        <w:t>询问与质疑”的相关规定，以书面形式向采购人提出质疑，否则视为认同招标文件中关于节能产品政府采购强制采购产品范围的划定。</w:t>
      </w:r>
    </w:p>
    <w:sectPr w:rsidR="00BD74E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584" w:rsidRDefault="00A77584" w:rsidP="00BD74E4">
      <w:r>
        <w:separator/>
      </w:r>
    </w:p>
  </w:endnote>
  <w:endnote w:type="continuationSeparator" w:id="0">
    <w:p w:rsidR="00A77584" w:rsidRDefault="00A77584" w:rsidP="00BD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
    <w:altName w:val="宋体"/>
    <w:charset w:val="86"/>
    <w:family w:val="roma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DEF" w:rsidRDefault="00826DE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2479850"/>
      <w:docPartObj>
        <w:docPartGallery w:val="Page Numbers (Bottom of Page)"/>
        <w:docPartUnique/>
      </w:docPartObj>
    </w:sdtPr>
    <w:sdtContent>
      <w:bookmarkStart w:id="0" w:name="_GoBack" w:displacedByCustomXml="prev"/>
      <w:bookmarkEnd w:id="0" w:displacedByCustomXml="prev"/>
      <w:p w:rsidR="00826DEF" w:rsidRDefault="00826DEF">
        <w:pPr>
          <w:pStyle w:val="a4"/>
          <w:jc w:val="center"/>
        </w:pPr>
        <w:r>
          <w:fldChar w:fldCharType="begin"/>
        </w:r>
        <w:r>
          <w:instrText>PAGE   \* MERGEFORMAT</w:instrText>
        </w:r>
        <w:r>
          <w:fldChar w:fldCharType="separate"/>
        </w:r>
        <w:r w:rsidRPr="00826DEF">
          <w:rPr>
            <w:noProof/>
            <w:lang w:val="zh-CN"/>
          </w:rPr>
          <w:t>1</w:t>
        </w:r>
        <w:r>
          <w:fldChar w:fldCharType="end"/>
        </w:r>
      </w:p>
    </w:sdtContent>
  </w:sdt>
  <w:p w:rsidR="00826DEF" w:rsidRDefault="00826DEF">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DEF" w:rsidRDefault="00826DE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584" w:rsidRDefault="00A77584" w:rsidP="00BD74E4">
      <w:r>
        <w:separator/>
      </w:r>
    </w:p>
  </w:footnote>
  <w:footnote w:type="continuationSeparator" w:id="0">
    <w:p w:rsidR="00A77584" w:rsidRDefault="00A77584" w:rsidP="00BD7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DEF" w:rsidRDefault="00826DE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DEF" w:rsidRDefault="00826DEF">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DEF" w:rsidRDefault="00826D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ED08E8"/>
    <w:multiLevelType w:val="singleLevel"/>
    <w:tmpl w:val="BEED08E8"/>
    <w:lvl w:ilvl="0">
      <w:start w:val="1"/>
      <w:numFmt w:val="upperLetter"/>
      <w:lvlText w:val="%1."/>
      <w:lvlJc w:val="left"/>
      <w:pPr>
        <w:tabs>
          <w:tab w:val="left" w:pos="312"/>
        </w:tabs>
      </w:pPr>
    </w:lvl>
  </w:abstractNum>
  <w:abstractNum w:abstractNumId="1">
    <w:nsid w:val="12E35414"/>
    <w:multiLevelType w:val="hybridMultilevel"/>
    <w:tmpl w:val="B7F26FE8"/>
    <w:lvl w:ilvl="0" w:tplc="4F46A12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6E261072"/>
    <w:multiLevelType w:val="singleLevel"/>
    <w:tmpl w:val="6E261072"/>
    <w:lvl w:ilvl="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967"/>
    <w:rsid w:val="00063CDC"/>
    <w:rsid w:val="00096260"/>
    <w:rsid w:val="00150FBB"/>
    <w:rsid w:val="001F0BB1"/>
    <w:rsid w:val="00331A8D"/>
    <w:rsid w:val="004D4ADB"/>
    <w:rsid w:val="007D6B31"/>
    <w:rsid w:val="00816503"/>
    <w:rsid w:val="00826DEF"/>
    <w:rsid w:val="009A4728"/>
    <w:rsid w:val="00A77584"/>
    <w:rsid w:val="00AB3967"/>
    <w:rsid w:val="00BD74E4"/>
    <w:rsid w:val="00D72FFC"/>
    <w:rsid w:val="00D91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2"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D74E4"/>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BD74E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rsid w:val="00BD74E4"/>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rsid w:val="00BD74E4"/>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BD74E4"/>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Char"/>
    <w:uiPriority w:val="9"/>
    <w:semiHidden/>
    <w:unhideWhenUsed/>
    <w:qFormat/>
    <w:rsid w:val="00BD74E4"/>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BD74E4"/>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BD74E4"/>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BD74E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BD74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BD74E4"/>
    <w:rPr>
      <w:sz w:val="18"/>
      <w:szCs w:val="18"/>
    </w:rPr>
  </w:style>
  <w:style w:type="paragraph" w:styleId="a4">
    <w:name w:val="footer"/>
    <w:basedOn w:val="a"/>
    <w:link w:val="Char0"/>
    <w:uiPriority w:val="99"/>
    <w:unhideWhenUsed/>
    <w:qFormat/>
    <w:rsid w:val="00BD74E4"/>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BD74E4"/>
    <w:rPr>
      <w:sz w:val="18"/>
      <w:szCs w:val="18"/>
    </w:rPr>
  </w:style>
  <w:style w:type="character" w:customStyle="1" w:styleId="1Char">
    <w:name w:val="标题 1 Char"/>
    <w:basedOn w:val="a0"/>
    <w:link w:val="1"/>
    <w:uiPriority w:val="9"/>
    <w:qFormat/>
    <w:rsid w:val="00BD74E4"/>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qFormat/>
    <w:rsid w:val="00BD74E4"/>
    <w:rPr>
      <w:rFonts w:asciiTheme="majorHAnsi" w:eastAsiaTheme="majorEastAsia" w:hAnsiTheme="majorHAnsi" w:cstheme="majorBidi"/>
      <w:b/>
      <w:bCs/>
      <w:sz w:val="32"/>
      <w:szCs w:val="32"/>
    </w:rPr>
  </w:style>
  <w:style w:type="character" w:customStyle="1" w:styleId="3Char">
    <w:name w:val="标题 3 Char"/>
    <w:basedOn w:val="a0"/>
    <w:link w:val="3"/>
    <w:uiPriority w:val="9"/>
    <w:qFormat/>
    <w:rsid w:val="00BD74E4"/>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sid w:val="00BD74E4"/>
    <w:rPr>
      <w:rFonts w:cstheme="majorBidi"/>
      <w:color w:val="365F91" w:themeColor="accent1" w:themeShade="BF"/>
      <w:sz w:val="28"/>
      <w:szCs w:val="28"/>
    </w:rPr>
  </w:style>
  <w:style w:type="character" w:customStyle="1" w:styleId="5Char">
    <w:name w:val="标题 5 Char"/>
    <w:basedOn w:val="a0"/>
    <w:link w:val="5"/>
    <w:uiPriority w:val="9"/>
    <w:semiHidden/>
    <w:qFormat/>
    <w:rsid w:val="00BD74E4"/>
    <w:rPr>
      <w:rFonts w:cstheme="majorBidi"/>
      <w:color w:val="365F91" w:themeColor="accent1" w:themeShade="BF"/>
      <w:sz w:val="24"/>
      <w:szCs w:val="24"/>
    </w:rPr>
  </w:style>
  <w:style w:type="character" w:customStyle="1" w:styleId="6Char">
    <w:name w:val="标题 6 Char"/>
    <w:basedOn w:val="a0"/>
    <w:link w:val="6"/>
    <w:uiPriority w:val="9"/>
    <w:semiHidden/>
    <w:qFormat/>
    <w:rsid w:val="00BD74E4"/>
    <w:rPr>
      <w:rFonts w:cstheme="majorBidi"/>
      <w:b/>
      <w:bCs/>
      <w:color w:val="365F91" w:themeColor="accent1" w:themeShade="BF"/>
    </w:rPr>
  </w:style>
  <w:style w:type="character" w:customStyle="1" w:styleId="7Char">
    <w:name w:val="标题 7 Char"/>
    <w:basedOn w:val="a0"/>
    <w:link w:val="7"/>
    <w:uiPriority w:val="9"/>
    <w:semiHidden/>
    <w:qFormat/>
    <w:rsid w:val="00BD74E4"/>
    <w:rPr>
      <w:rFonts w:cstheme="majorBidi"/>
      <w:b/>
      <w:bCs/>
      <w:color w:val="595959" w:themeColor="text1" w:themeTint="A6"/>
    </w:rPr>
  </w:style>
  <w:style w:type="character" w:customStyle="1" w:styleId="8Char">
    <w:name w:val="标题 8 Char"/>
    <w:basedOn w:val="a0"/>
    <w:link w:val="8"/>
    <w:uiPriority w:val="9"/>
    <w:semiHidden/>
    <w:qFormat/>
    <w:rsid w:val="00BD74E4"/>
    <w:rPr>
      <w:rFonts w:cstheme="majorBidi"/>
      <w:color w:val="595959" w:themeColor="text1" w:themeTint="A6"/>
    </w:rPr>
  </w:style>
  <w:style w:type="character" w:customStyle="1" w:styleId="9Char">
    <w:name w:val="标题 9 Char"/>
    <w:basedOn w:val="a0"/>
    <w:link w:val="9"/>
    <w:uiPriority w:val="9"/>
    <w:semiHidden/>
    <w:qFormat/>
    <w:rsid w:val="00BD74E4"/>
    <w:rPr>
      <w:rFonts w:eastAsiaTheme="majorEastAsia" w:cstheme="majorBidi"/>
      <w:color w:val="595959" w:themeColor="text1" w:themeTint="A6"/>
    </w:rPr>
  </w:style>
  <w:style w:type="paragraph" w:styleId="a5">
    <w:name w:val="annotation text"/>
    <w:basedOn w:val="a"/>
    <w:link w:val="Char1"/>
    <w:uiPriority w:val="99"/>
    <w:unhideWhenUsed/>
    <w:qFormat/>
    <w:rsid w:val="00BD74E4"/>
    <w:pPr>
      <w:jc w:val="left"/>
    </w:pPr>
    <w:rPr>
      <w:rFonts w:ascii="Times New Roman" w:eastAsia="宋体" w:hAnsi="Times New Roman" w:cs="Times New Roman"/>
      <w:szCs w:val="20"/>
    </w:rPr>
  </w:style>
  <w:style w:type="character" w:customStyle="1" w:styleId="Char1">
    <w:name w:val="批注文字 Char"/>
    <w:basedOn w:val="a0"/>
    <w:link w:val="a5"/>
    <w:uiPriority w:val="99"/>
    <w:qFormat/>
    <w:rsid w:val="00BD74E4"/>
    <w:rPr>
      <w:rFonts w:ascii="Times New Roman" w:eastAsia="宋体" w:hAnsi="Times New Roman" w:cs="Times New Roman"/>
      <w:szCs w:val="20"/>
    </w:rPr>
  </w:style>
  <w:style w:type="paragraph" w:styleId="a6">
    <w:name w:val="Body Text"/>
    <w:basedOn w:val="a"/>
    <w:next w:val="20"/>
    <w:link w:val="Char2"/>
    <w:unhideWhenUsed/>
    <w:qFormat/>
    <w:rsid w:val="00BD74E4"/>
    <w:pPr>
      <w:spacing w:after="120"/>
    </w:pPr>
    <w:rPr>
      <w:rFonts w:ascii="Times New Roman" w:eastAsia="宋体" w:hAnsi="Times New Roman" w:cs="Times New Roman"/>
      <w:szCs w:val="20"/>
    </w:rPr>
  </w:style>
  <w:style w:type="character" w:customStyle="1" w:styleId="Char2">
    <w:name w:val="正文文本 Char"/>
    <w:basedOn w:val="a0"/>
    <w:link w:val="a6"/>
    <w:qFormat/>
    <w:rsid w:val="00BD74E4"/>
    <w:rPr>
      <w:rFonts w:ascii="Times New Roman" w:eastAsia="宋体" w:hAnsi="Times New Roman" w:cs="Times New Roman"/>
      <w:szCs w:val="20"/>
    </w:rPr>
  </w:style>
  <w:style w:type="paragraph" w:styleId="20">
    <w:name w:val="toc 2"/>
    <w:basedOn w:val="a"/>
    <w:next w:val="a"/>
    <w:uiPriority w:val="39"/>
    <w:qFormat/>
    <w:rsid w:val="00BD74E4"/>
    <w:pPr>
      <w:ind w:left="210"/>
      <w:jc w:val="left"/>
    </w:pPr>
    <w:rPr>
      <w:rFonts w:ascii="@黑体" w:eastAsia="宋体" w:hAnsi="@黑体" w:cs="@黑体"/>
      <w:smallCaps/>
      <w:sz w:val="20"/>
      <w:szCs w:val="20"/>
    </w:rPr>
  </w:style>
  <w:style w:type="paragraph" w:styleId="a7">
    <w:name w:val="Body Text Indent"/>
    <w:basedOn w:val="a"/>
    <w:link w:val="Char3"/>
    <w:qFormat/>
    <w:rsid w:val="00BD74E4"/>
    <w:pPr>
      <w:tabs>
        <w:tab w:val="left" w:pos="480"/>
      </w:tabs>
      <w:spacing w:line="560" w:lineRule="exact"/>
      <w:ind w:firstLine="480"/>
      <w:jc w:val="left"/>
    </w:pPr>
    <w:rPr>
      <w:rFonts w:ascii="宋体" w:eastAsia="宋体" w:hAnsi="宋体" w:cs="Times New Roman"/>
      <w:sz w:val="24"/>
      <w:szCs w:val="20"/>
    </w:rPr>
  </w:style>
  <w:style w:type="character" w:customStyle="1" w:styleId="Char3">
    <w:name w:val="正文文本缩进 Char"/>
    <w:basedOn w:val="a0"/>
    <w:link w:val="a7"/>
    <w:qFormat/>
    <w:rsid w:val="00BD74E4"/>
    <w:rPr>
      <w:rFonts w:ascii="宋体" w:eastAsia="宋体" w:hAnsi="宋体" w:cs="Times New Roman"/>
      <w:sz w:val="24"/>
      <w:szCs w:val="20"/>
    </w:rPr>
  </w:style>
  <w:style w:type="paragraph" w:styleId="a8">
    <w:name w:val="Plain Text"/>
    <w:basedOn w:val="a"/>
    <w:link w:val="Char10"/>
    <w:qFormat/>
    <w:rsid w:val="00BD74E4"/>
    <w:rPr>
      <w:rFonts w:ascii="宋体" w:eastAsia="宋体" w:hAnsi="Courier New" w:cs="Times New Roman"/>
      <w:szCs w:val="20"/>
      <w:lang w:val="zh-CN"/>
    </w:rPr>
  </w:style>
  <w:style w:type="character" w:customStyle="1" w:styleId="Char4">
    <w:name w:val="纯文本 Char"/>
    <w:basedOn w:val="a0"/>
    <w:uiPriority w:val="99"/>
    <w:semiHidden/>
    <w:qFormat/>
    <w:rsid w:val="00BD74E4"/>
    <w:rPr>
      <w:rFonts w:ascii="宋体" w:eastAsia="宋体" w:hAnsi="Courier New" w:cs="Courier New"/>
      <w:szCs w:val="21"/>
    </w:rPr>
  </w:style>
  <w:style w:type="character" w:customStyle="1" w:styleId="Char10">
    <w:name w:val="纯文本 Char1"/>
    <w:link w:val="a8"/>
    <w:qFormat/>
    <w:locked/>
    <w:rsid w:val="00BD74E4"/>
    <w:rPr>
      <w:rFonts w:ascii="宋体" w:eastAsia="宋体" w:hAnsi="Courier New" w:cs="Times New Roman"/>
      <w:szCs w:val="20"/>
      <w:lang w:val="zh-CN"/>
    </w:rPr>
  </w:style>
  <w:style w:type="paragraph" w:styleId="a9">
    <w:name w:val="Date"/>
    <w:basedOn w:val="a"/>
    <w:next w:val="a"/>
    <w:link w:val="Char5"/>
    <w:qFormat/>
    <w:rsid w:val="00BD74E4"/>
    <w:pPr>
      <w:adjustRightInd w:val="0"/>
      <w:spacing w:line="360" w:lineRule="atLeast"/>
      <w:textAlignment w:val="baseline"/>
    </w:pPr>
    <w:rPr>
      <w:rFonts w:ascii="Times New Roman" w:eastAsia="宋体" w:hAnsi="Times New Roman" w:cs="Times New Roman"/>
      <w:sz w:val="32"/>
      <w:szCs w:val="20"/>
    </w:rPr>
  </w:style>
  <w:style w:type="character" w:customStyle="1" w:styleId="Char5">
    <w:name w:val="日期 Char"/>
    <w:basedOn w:val="a0"/>
    <w:link w:val="a9"/>
    <w:qFormat/>
    <w:rsid w:val="00BD74E4"/>
    <w:rPr>
      <w:rFonts w:ascii="Times New Roman" w:eastAsia="宋体" w:hAnsi="Times New Roman" w:cs="Times New Roman"/>
      <w:sz w:val="32"/>
      <w:szCs w:val="20"/>
    </w:rPr>
  </w:style>
  <w:style w:type="paragraph" w:styleId="21">
    <w:name w:val="Body Text Indent 2"/>
    <w:basedOn w:val="a"/>
    <w:link w:val="2Char0"/>
    <w:uiPriority w:val="99"/>
    <w:semiHidden/>
    <w:unhideWhenUsed/>
    <w:qFormat/>
    <w:rsid w:val="00BD74E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0"/>
    <w:link w:val="21"/>
    <w:uiPriority w:val="99"/>
    <w:semiHidden/>
    <w:qFormat/>
    <w:rsid w:val="00BD74E4"/>
    <w:rPr>
      <w:rFonts w:ascii="Times New Roman" w:eastAsia="宋体" w:hAnsi="Times New Roman" w:cs="Times New Roman"/>
      <w:szCs w:val="20"/>
    </w:rPr>
  </w:style>
  <w:style w:type="paragraph" w:styleId="aa">
    <w:name w:val="Balloon Text"/>
    <w:basedOn w:val="a"/>
    <w:link w:val="Char6"/>
    <w:uiPriority w:val="99"/>
    <w:semiHidden/>
    <w:unhideWhenUsed/>
    <w:qFormat/>
    <w:rsid w:val="00BD74E4"/>
    <w:rPr>
      <w:rFonts w:ascii="Times New Roman" w:eastAsia="宋体" w:hAnsi="Times New Roman" w:cs="Times New Roman"/>
      <w:sz w:val="18"/>
      <w:szCs w:val="18"/>
    </w:rPr>
  </w:style>
  <w:style w:type="character" w:customStyle="1" w:styleId="Char6">
    <w:name w:val="批注框文本 Char"/>
    <w:basedOn w:val="a0"/>
    <w:link w:val="aa"/>
    <w:uiPriority w:val="99"/>
    <w:semiHidden/>
    <w:qFormat/>
    <w:rsid w:val="00BD74E4"/>
    <w:rPr>
      <w:rFonts w:ascii="Times New Roman" w:eastAsia="宋体" w:hAnsi="Times New Roman" w:cs="Times New Roman"/>
      <w:sz w:val="18"/>
      <w:szCs w:val="18"/>
    </w:rPr>
  </w:style>
  <w:style w:type="paragraph" w:styleId="ab">
    <w:name w:val="Subtitle"/>
    <w:basedOn w:val="a"/>
    <w:next w:val="a"/>
    <w:link w:val="Char7"/>
    <w:uiPriority w:val="11"/>
    <w:qFormat/>
    <w:rsid w:val="00BD74E4"/>
    <w:pPr>
      <w:spacing w:before="240" w:after="60" w:line="312" w:lineRule="auto"/>
      <w:jc w:val="center"/>
      <w:outlineLvl w:val="1"/>
    </w:pPr>
    <w:rPr>
      <w:rFonts w:ascii="Cambria" w:eastAsia="宋体" w:hAnsi="Cambria" w:cs="Times New Roman"/>
      <w:b/>
      <w:bCs/>
      <w:kern w:val="28"/>
      <w:sz w:val="32"/>
      <w:szCs w:val="32"/>
      <w:lang w:val="zh-CN"/>
    </w:rPr>
  </w:style>
  <w:style w:type="character" w:customStyle="1" w:styleId="Char7">
    <w:name w:val="副标题 Char"/>
    <w:basedOn w:val="a0"/>
    <w:link w:val="ab"/>
    <w:uiPriority w:val="11"/>
    <w:qFormat/>
    <w:rsid w:val="00BD74E4"/>
    <w:rPr>
      <w:rFonts w:ascii="Cambria" w:eastAsia="宋体" w:hAnsi="Cambria" w:cs="Times New Roman"/>
      <w:b/>
      <w:bCs/>
      <w:kern w:val="28"/>
      <w:sz w:val="32"/>
      <w:szCs w:val="32"/>
      <w:lang w:val="zh-CN"/>
    </w:rPr>
  </w:style>
  <w:style w:type="paragraph" w:styleId="30">
    <w:name w:val="Body Text Indent 3"/>
    <w:basedOn w:val="a"/>
    <w:link w:val="3Char0"/>
    <w:uiPriority w:val="99"/>
    <w:semiHidden/>
    <w:unhideWhenUsed/>
    <w:qFormat/>
    <w:rsid w:val="00BD74E4"/>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0"/>
    <w:link w:val="30"/>
    <w:uiPriority w:val="99"/>
    <w:semiHidden/>
    <w:qFormat/>
    <w:rsid w:val="00BD74E4"/>
    <w:rPr>
      <w:rFonts w:ascii="Times New Roman" w:eastAsia="宋体" w:hAnsi="Times New Roman" w:cs="Times New Roman"/>
      <w:sz w:val="16"/>
      <w:szCs w:val="16"/>
    </w:rPr>
  </w:style>
  <w:style w:type="paragraph" w:styleId="22">
    <w:name w:val="Body Text 2"/>
    <w:basedOn w:val="a"/>
    <w:link w:val="2Char1"/>
    <w:uiPriority w:val="99"/>
    <w:semiHidden/>
    <w:unhideWhenUsed/>
    <w:qFormat/>
    <w:rsid w:val="00BD74E4"/>
    <w:pPr>
      <w:spacing w:after="120" w:line="480" w:lineRule="auto"/>
    </w:pPr>
    <w:rPr>
      <w:rFonts w:ascii="Times New Roman" w:eastAsia="宋体" w:hAnsi="Times New Roman" w:cs="Times New Roman"/>
      <w:szCs w:val="20"/>
    </w:rPr>
  </w:style>
  <w:style w:type="character" w:customStyle="1" w:styleId="2Char1">
    <w:name w:val="正文文本 2 Char"/>
    <w:basedOn w:val="a0"/>
    <w:link w:val="22"/>
    <w:uiPriority w:val="99"/>
    <w:semiHidden/>
    <w:qFormat/>
    <w:rsid w:val="00BD74E4"/>
    <w:rPr>
      <w:rFonts w:ascii="Times New Roman" w:eastAsia="宋体" w:hAnsi="Times New Roman" w:cs="Times New Roman"/>
      <w:szCs w:val="20"/>
    </w:rPr>
  </w:style>
  <w:style w:type="paragraph" w:styleId="ac">
    <w:name w:val="Normal (Web)"/>
    <w:basedOn w:val="a"/>
    <w:uiPriority w:val="99"/>
    <w:qFormat/>
    <w:rsid w:val="00BD74E4"/>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Char8"/>
    <w:uiPriority w:val="10"/>
    <w:qFormat/>
    <w:rsid w:val="00BD74E4"/>
    <w:pPr>
      <w:spacing w:after="80"/>
      <w:contextualSpacing/>
      <w:jc w:val="center"/>
    </w:pPr>
    <w:rPr>
      <w:rFonts w:asciiTheme="majorHAnsi" w:eastAsiaTheme="majorEastAsia" w:hAnsiTheme="majorHAnsi" w:cstheme="majorBidi"/>
      <w:spacing w:val="-10"/>
      <w:kern w:val="28"/>
      <w:sz w:val="56"/>
      <w:szCs w:val="56"/>
    </w:rPr>
  </w:style>
  <w:style w:type="character" w:customStyle="1" w:styleId="Char8">
    <w:name w:val="标题 Char"/>
    <w:basedOn w:val="a0"/>
    <w:link w:val="ad"/>
    <w:uiPriority w:val="10"/>
    <w:qFormat/>
    <w:rsid w:val="00BD74E4"/>
    <w:rPr>
      <w:rFonts w:asciiTheme="majorHAnsi" w:eastAsiaTheme="majorEastAsia" w:hAnsiTheme="majorHAnsi" w:cstheme="majorBidi"/>
      <w:spacing w:val="-10"/>
      <w:kern w:val="28"/>
      <w:sz w:val="56"/>
      <w:szCs w:val="56"/>
    </w:rPr>
  </w:style>
  <w:style w:type="table" w:styleId="ae">
    <w:name w:val="Table Grid"/>
    <w:basedOn w:val="a1"/>
    <w:qFormat/>
    <w:rsid w:val="00BD74E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sid w:val="00BD74E4"/>
    <w:rPr>
      <w:b/>
      <w:bCs/>
    </w:rPr>
  </w:style>
  <w:style w:type="character" w:styleId="af0">
    <w:name w:val="Hyperlink"/>
    <w:basedOn w:val="a0"/>
    <w:uiPriority w:val="99"/>
    <w:unhideWhenUsed/>
    <w:qFormat/>
    <w:rsid w:val="00BD74E4"/>
    <w:rPr>
      <w:color w:val="0000FF" w:themeColor="hyperlink"/>
      <w:u w:val="single"/>
    </w:rPr>
  </w:style>
  <w:style w:type="character" w:styleId="af1">
    <w:name w:val="annotation reference"/>
    <w:basedOn w:val="a0"/>
    <w:uiPriority w:val="99"/>
    <w:unhideWhenUsed/>
    <w:qFormat/>
    <w:rsid w:val="00BD74E4"/>
    <w:rPr>
      <w:sz w:val="21"/>
      <w:szCs w:val="21"/>
    </w:rPr>
  </w:style>
  <w:style w:type="paragraph" w:customStyle="1" w:styleId="Default">
    <w:name w:val="Default"/>
    <w:link w:val="DefaultChar"/>
    <w:qFormat/>
    <w:rsid w:val="00BD74E4"/>
    <w:pPr>
      <w:widowControl w:val="0"/>
      <w:autoSpaceDE w:val="0"/>
      <w:autoSpaceDN w:val="0"/>
      <w:adjustRightInd w:val="0"/>
    </w:pPr>
    <w:rPr>
      <w:rFonts w:ascii="......." w:eastAsia="......." w:hAnsi="Calibri" w:cs="......."/>
      <w:color w:val="000000"/>
      <w:kern w:val="0"/>
      <w:sz w:val="24"/>
      <w:szCs w:val="24"/>
    </w:rPr>
  </w:style>
  <w:style w:type="character" w:customStyle="1" w:styleId="DefaultChar">
    <w:name w:val="Default Char"/>
    <w:link w:val="Default"/>
    <w:qFormat/>
    <w:locked/>
    <w:rsid w:val="00BD74E4"/>
    <w:rPr>
      <w:rFonts w:ascii="......." w:eastAsia="......." w:hAnsi="Calibri" w:cs="......."/>
      <w:color w:val="000000"/>
      <w:kern w:val="0"/>
      <w:sz w:val="24"/>
      <w:szCs w:val="24"/>
    </w:rPr>
  </w:style>
  <w:style w:type="paragraph" w:styleId="af2">
    <w:name w:val="List Paragraph"/>
    <w:basedOn w:val="a"/>
    <w:link w:val="Char9"/>
    <w:uiPriority w:val="34"/>
    <w:qFormat/>
    <w:rsid w:val="00BD74E4"/>
    <w:pPr>
      <w:ind w:firstLineChars="200" w:firstLine="420"/>
    </w:pPr>
    <w:rPr>
      <w:rFonts w:ascii="Times New Roman" w:eastAsia="宋体" w:hAnsi="Times New Roman" w:cs="Times New Roman"/>
      <w:szCs w:val="20"/>
    </w:rPr>
  </w:style>
  <w:style w:type="character" w:customStyle="1" w:styleId="Char9">
    <w:name w:val="列出段落 Char"/>
    <w:link w:val="af2"/>
    <w:uiPriority w:val="34"/>
    <w:qFormat/>
    <w:rsid w:val="00BD74E4"/>
    <w:rPr>
      <w:rFonts w:ascii="Times New Roman" w:eastAsia="宋体" w:hAnsi="Times New Roman" w:cs="Times New Roman"/>
      <w:szCs w:val="20"/>
    </w:rPr>
  </w:style>
  <w:style w:type="paragraph" w:customStyle="1" w:styleId="Chara">
    <w:name w:val="Char"/>
    <w:basedOn w:val="a"/>
    <w:qFormat/>
    <w:rsid w:val="00BD74E4"/>
    <w:pPr>
      <w:tabs>
        <w:tab w:val="left" w:pos="360"/>
      </w:tabs>
    </w:pPr>
    <w:rPr>
      <w:rFonts w:ascii="Times New Roman" w:eastAsia="宋体" w:hAnsi="Times New Roman" w:cs="Times New Roman"/>
      <w:sz w:val="24"/>
      <w:szCs w:val="24"/>
    </w:rPr>
  </w:style>
  <w:style w:type="paragraph" w:customStyle="1" w:styleId="13">
    <w:name w:val="正文_13"/>
    <w:qFormat/>
    <w:rsid w:val="00BD74E4"/>
    <w:pPr>
      <w:widowControl w:val="0"/>
      <w:jc w:val="both"/>
    </w:pPr>
    <w:rPr>
      <w:rFonts w:ascii="Times New Roman" w:eastAsia="宋体" w:hAnsi="Times New Roman" w:cs="Times New Roman"/>
      <w:szCs w:val="24"/>
    </w:rPr>
  </w:style>
  <w:style w:type="paragraph" w:customStyle="1" w:styleId="60">
    <w:name w:val="正文_6"/>
    <w:qFormat/>
    <w:rsid w:val="00BD74E4"/>
    <w:pPr>
      <w:widowControl w:val="0"/>
      <w:jc w:val="both"/>
    </w:pPr>
    <w:rPr>
      <w:rFonts w:ascii="Times New Roman" w:eastAsia="宋体" w:hAnsi="Times New Roman" w:cs="Times New Roman"/>
      <w:szCs w:val="24"/>
    </w:rPr>
  </w:style>
  <w:style w:type="paragraph" w:customStyle="1" w:styleId="70">
    <w:name w:val="正文_7"/>
    <w:qFormat/>
    <w:rsid w:val="00BD74E4"/>
    <w:pPr>
      <w:widowControl w:val="0"/>
      <w:jc w:val="both"/>
    </w:pPr>
    <w:rPr>
      <w:rFonts w:ascii="Times New Roman" w:eastAsia="宋体" w:hAnsi="Times New Roman" w:cs="Times New Roman"/>
      <w:szCs w:val="24"/>
    </w:rPr>
  </w:style>
  <w:style w:type="paragraph" w:customStyle="1" w:styleId="11">
    <w:name w:val="正文_11"/>
    <w:qFormat/>
    <w:rsid w:val="00BD74E4"/>
    <w:pPr>
      <w:widowControl w:val="0"/>
      <w:jc w:val="both"/>
    </w:pPr>
    <w:rPr>
      <w:rFonts w:ascii="Times New Roman" w:eastAsia="宋体" w:hAnsi="Times New Roman" w:cs="Times New Roman"/>
      <w:szCs w:val="24"/>
    </w:rPr>
  </w:style>
  <w:style w:type="paragraph" w:customStyle="1" w:styleId="10">
    <w:name w:val="列出段落1"/>
    <w:basedOn w:val="a"/>
    <w:qFormat/>
    <w:rsid w:val="00BD74E4"/>
    <w:pPr>
      <w:ind w:firstLineChars="200" w:firstLine="420"/>
    </w:pPr>
    <w:rPr>
      <w:rFonts w:ascii="Calibri" w:eastAsia="宋体" w:hAnsi="Calibri" w:cs="黑体"/>
    </w:rPr>
  </w:style>
  <w:style w:type="paragraph" w:customStyle="1" w:styleId="AONormal">
    <w:name w:val="AONormal"/>
    <w:qFormat/>
    <w:rsid w:val="00BD74E4"/>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3">
    <w:name w:val="Quote"/>
    <w:basedOn w:val="a"/>
    <w:next w:val="a"/>
    <w:link w:val="Charb"/>
    <w:uiPriority w:val="29"/>
    <w:qFormat/>
    <w:rsid w:val="00BD74E4"/>
    <w:pPr>
      <w:spacing w:before="160" w:after="160"/>
      <w:jc w:val="center"/>
    </w:pPr>
    <w:rPr>
      <w:i/>
      <w:iCs/>
      <w:color w:val="404040" w:themeColor="text1" w:themeTint="BF"/>
    </w:rPr>
  </w:style>
  <w:style w:type="character" w:customStyle="1" w:styleId="Charb">
    <w:name w:val="引用 Char"/>
    <w:basedOn w:val="a0"/>
    <w:link w:val="af3"/>
    <w:uiPriority w:val="29"/>
    <w:qFormat/>
    <w:rsid w:val="00BD74E4"/>
    <w:rPr>
      <w:i/>
      <w:iCs/>
      <w:color w:val="404040" w:themeColor="text1" w:themeTint="BF"/>
    </w:rPr>
  </w:style>
  <w:style w:type="character" w:customStyle="1" w:styleId="12">
    <w:name w:val="明显强调1"/>
    <w:basedOn w:val="a0"/>
    <w:uiPriority w:val="21"/>
    <w:qFormat/>
    <w:rsid w:val="00BD74E4"/>
    <w:rPr>
      <w:i/>
      <w:iCs/>
      <w:color w:val="365F91" w:themeColor="accent1" w:themeShade="BF"/>
    </w:rPr>
  </w:style>
  <w:style w:type="paragraph" w:styleId="af4">
    <w:name w:val="Intense Quote"/>
    <w:basedOn w:val="a"/>
    <w:next w:val="a"/>
    <w:link w:val="Charc"/>
    <w:uiPriority w:val="30"/>
    <w:qFormat/>
    <w:rsid w:val="00BD74E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c">
    <w:name w:val="明显引用 Char"/>
    <w:basedOn w:val="a0"/>
    <w:link w:val="af4"/>
    <w:uiPriority w:val="30"/>
    <w:qFormat/>
    <w:rsid w:val="00BD74E4"/>
    <w:rPr>
      <w:i/>
      <w:iCs/>
      <w:color w:val="365F91" w:themeColor="accent1" w:themeShade="BF"/>
    </w:rPr>
  </w:style>
  <w:style w:type="character" w:customStyle="1" w:styleId="14">
    <w:name w:val="明显参考1"/>
    <w:basedOn w:val="a0"/>
    <w:uiPriority w:val="32"/>
    <w:qFormat/>
    <w:rsid w:val="00BD74E4"/>
    <w:rPr>
      <w:b/>
      <w:bCs/>
      <w:smallCaps/>
      <w:color w:val="365F91" w:themeColor="accent1" w:themeShade="BF"/>
      <w:spacing w:val="5"/>
    </w:rPr>
  </w:style>
  <w:style w:type="character" w:customStyle="1" w:styleId="font31">
    <w:name w:val="font31"/>
    <w:basedOn w:val="a0"/>
    <w:qFormat/>
    <w:rsid w:val="00BD74E4"/>
    <w:rPr>
      <w:rFonts w:ascii="宋体" w:eastAsia="宋体" w:hAnsi="宋体" w:cs="宋体" w:hint="eastAsia"/>
      <w:b/>
      <w:bCs/>
      <w:color w:val="000000"/>
      <w:sz w:val="20"/>
      <w:szCs w:val="20"/>
      <w:u w:val="none"/>
    </w:rPr>
  </w:style>
  <w:style w:type="character" w:customStyle="1" w:styleId="font11">
    <w:name w:val="font11"/>
    <w:basedOn w:val="a0"/>
    <w:qFormat/>
    <w:rsid w:val="00BD74E4"/>
    <w:rPr>
      <w:rFonts w:ascii="宋体" w:eastAsia="宋体" w:hAnsi="宋体" w:cs="宋体" w:hint="eastAsia"/>
      <w:color w:val="000000"/>
      <w:sz w:val="20"/>
      <w:szCs w:val="20"/>
      <w:u w:val="none"/>
    </w:rPr>
  </w:style>
  <w:style w:type="character" w:customStyle="1" w:styleId="font61">
    <w:name w:val="font61"/>
    <w:basedOn w:val="a0"/>
    <w:qFormat/>
    <w:rsid w:val="00BD74E4"/>
    <w:rPr>
      <w:rFonts w:ascii="宋体" w:eastAsia="宋体" w:hAnsi="宋体" w:cs="宋体" w:hint="eastAsia"/>
      <w:b/>
      <w:bCs/>
      <w:color w:val="000000"/>
      <w:sz w:val="20"/>
      <w:szCs w:val="20"/>
      <w:u w:val="none"/>
    </w:rPr>
  </w:style>
  <w:style w:type="character" w:customStyle="1" w:styleId="font21">
    <w:name w:val="font21"/>
    <w:basedOn w:val="a0"/>
    <w:qFormat/>
    <w:rsid w:val="00BD74E4"/>
    <w:rPr>
      <w:rFonts w:ascii="宋体" w:eastAsia="宋体" w:hAnsi="宋体" w:cs="宋体" w:hint="eastAsia"/>
      <w:b/>
      <w:bCs/>
      <w:color w:val="000000"/>
      <w:sz w:val="20"/>
      <w:szCs w:val="20"/>
      <w:u w:val="none"/>
    </w:rPr>
  </w:style>
  <w:style w:type="paragraph" w:styleId="af5">
    <w:name w:val="annotation subject"/>
    <w:basedOn w:val="a5"/>
    <w:next w:val="a5"/>
    <w:link w:val="Chard"/>
    <w:uiPriority w:val="99"/>
    <w:semiHidden/>
    <w:unhideWhenUsed/>
    <w:rsid w:val="00BD74E4"/>
    <w:rPr>
      <w:b/>
      <w:bCs/>
    </w:rPr>
  </w:style>
  <w:style w:type="character" w:customStyle="1" w:styleId="Chard">
    <w:name w:val="批注主题 Char"/>
    <w:basedOn w:val="Char1"/>
    <w:link w:val="af5"/>
    <w:uiPriority w:val="99"/>
    <w:semiHidden/>
    <w:rsid w:val="00BD74E4"/>
    <w:rPr>
      <w:rFonts w:ascii="Times New Roman" w:eastAsia="宋体" w:hAnsi="Times New Roman" w:cs="Times New Roman"/>
      <w:b/>
      <w:bCs/>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Date" w:uiPriority="0" w:qFormat="1"/>
    <w:lsdException w:name="Body Text 2" w:qFormat="1"/>
    <w:lsdException w:name="Body Text Indent 2" w:qFormat="1"/>
    <w:lsdException w:name="Body Text Indent 3" w:qFormat="1"/>
    <w:lsdException w:name="Hyperlink"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Balloon Tex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BD74E4"/>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BD74E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qFormat/>
    <w:rsid w:val="00BD74E4"/>
    <w:pPr>
      <w:keepNext/>
      <w:keepLines/>
      <w:spacing w:before="260" w:after="260" w:line="416" w:lineRule="auto"/>
      <w:outlineLvl w:val="2"/>
    </w:pPr>
    <w:rPr>
      <w:rFonts w:ascii="Times New Roman" w:eastAsia="宋体" w:hAnsi="Times New Roman" w:cs="Times New Roman"/>
      <w:b/>
      <w:bCs/>
      <w:sz w:val="32"/>
      <w:szCs w:val="32"/>
    </w:rPr>
  </w:style>
  <w:style w:type="paragraph" w:styleId="4">
    <w:name w:val="heading 4"/>
    <w:basedOn w:val="a"/>
    <w:next w:val="a"/>
    <w:link w:val="4Char"/>
    <w:uiPriority w:val="9"/>
    <w:semiHidden/>
    <w:unhideWhenUsed/>
    <w:qFormat/>
    <w:rsid w:val="00BD74E4"/>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BD74E4"/>
    <w:pPr>
      <w:keepNext/>
      <w:keepLines/>
      <w:spacing w:before="80" w:after="40"/>
      <w:outlineLvl w:val="4"/>
    </w:pPr>
    <w:rPr>
      <w:rFonts w:cstheme="majorBidi"/>
      <w:color w:val="365F91" w:themeColor="accent1" w:themeShade="BF"/>
      <w:sz w:val="24"/>
      <w:szCs w:val="24"/>
    </w:rPr>
  </w:style>
  <w:style w:type="paragraph" w:styleId="6">
    <w:name w:val="heading 6"/>
    <w:basedOn w:val="a"/>
    <w:next w:val="a"/>
    <w:link w:val="6Char"/>
    <w:uiPriority w:val="9"/>
    <w:semiHidden/>
    <w:unhideWhenUsed/>
    <w:qFormat/>
    <w:rsid w:val="00BD74E4"/>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BD74E4"/>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BD74E4"/>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BD74E4"/>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BD74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BD74E4"/>
    <w:rPr>
      <w:sz w:val="18"/>
      <w:szCs w:val="18"/>
    </w:rPr>
  </w:style>
  <w:style w:type="paragraph" w:styleId="a4">
    <w:name w:val="footer"/>
    <w:basedOn w:val="a"/>
    <w:link w:val="Char0"/>
    <w:uiPriority w:val="99"/>
    <w:unhideWhenUsed/>
    <w:qFormat/>
    <w:rsid w:val="00BD74E4"/>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BD74E4"/>
    <w:rPr>
      <w:sz w:val="18"/>
      <w:szCs w:val="18"/>
    </w:rPr>
  </w:style>
  <w:style w:type="character" w:customStyle="1" w:styleId="1Char">
    <w:name w:val="标题 1 Char"/>
    <w:basedOn w:val="a0"/>
    <w:link w:val="1"/>
    <w:uiPriority w:val="9"/>
    <w:qFormat/>
    <w:rsid w:val="00BD74E4"/>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qFormat/>
    <w:rsid w:val="00BD74E4"/>
    <w:rPr>
      <w:rFonts w:asciiTheme="majorHAnsi" w:eastAsiaTheme="majorEastAsia" w:hAnsiTheme="majorHAnsi" w:cstheme="majorBidi"/>
      <w:b/>
      <w:bCs/>
      <w:sz w:val="32"/>
      <w:szCs w:val="32"/>
    </w:rPr>
  </w:style>
  <w:style w:type="character" w:customStyle="1" w:styleId="3Char">
    <w:name w:val="标题 3 Char"/>
    <w:basedOn w:val="a0"/>
    <w:link w:val="3"/>
    <w:uiPriority w:val="9"/>
    <w:qFormat/>
    <w:rsid w:val="00BD74E4"/>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sid w:val="00BD74E4"/>
    <w:rPr>
      <w:rFonts w:cstheme="majorBidi"/>
      <w:color w:val="365F91" w:themeColor="accent1" w:themeShade="BF"/>
      <w:sz w:val="28"/>
      <w:szCs w:val="28"/>
    </w:rPr>
  </w:style>
  <w:style w:type="character" w:customStyle="1" w:styleId="5Char">
    <w:name w:val="标题 5 Char"/>
    <w:basedOn w:val="a0"/>
    <w:link w:val="5"/>
    <w:uiPriority w:val="9"/>
    <w:semiHidden/>
    <w:qFormat/>
    <w:rsid w:val="00BD74E4"/>
    <w:rPr>
      <w:rFonts w:cstheme="majorBidi"/>
      <w:color w:val="365F91" w:themeColor="accent1" w:themeShade="BF"/>
      <w:sz w:val="24"/>
      <w:szCs w:val="24"/>
    </w:rPr>
  </w:style>
  <w:style w:type="character" w:customStyle="1" w:styleId="6Char">
    <w:name w:val="标题 6 Char"/>
    <w:basedOn w:val="a0"/>
    <w:link w:val="6"/>
    <w:uiPriority w:val="9"/>
    <w:semiHidden/>
    <w:qFormat/>
    <w:rsid w:val="00BD74E4"/>
    <w:rPr>
      <w:rFonts w:cstheme="majorBidi"/>
      <w:b/>
      <w:bCs/>
      <w:color w:val="365F91" w:themeColor="accent1" w:themeShade="BF"/>
    </w:rPr>
  </w:style>
  <w:style w:type="character" w:customStyle="1" w:styleId="7Char">
    <w:name w:val="标题 7 Char"/>
    <w:basedOn w:val="a0"/>
    <w:link w:val="7"/>
    <w:uiPriority w:val="9"/>
    <w:semiHidden/>
    <w:qFormat/>
    <w:rsid w:val="00BD74E4"/>
    <w:rPr>
      <w:rFonts w:cstheme="majorBidi"/>
      <w:b/>
      <w:bCs/>
      <w:color w:val="595959" w:themeColor="text1" w:themeTint="A6"/>
    </w:rPr>
  </w:style>
  <w:style w:type="character" w:customStyle="1" w:styleId="8Char">
    <w:name w:val="标题 8 Char"/>
    <w:basedOn w:val="a0"/>
    <w:link w:val="8"/>
    <w:uiPriority w:val="9"/>
    <w:semiHidden/>
    <w:qFormat/>
    <w:rsid w:val="00BD74E4"/>
    <w:rPr>
      <w:rFonts w:cstheme="majorBidi"/>
      <w:color w:val="595959" w:themeColor="text1" w:themeTint="A6"/>
    </w:rPr>
  </w:style>
  <w:style w:type="character" w:customStyle="1" w:styleId="9Char">
    <w:name w:val="标题 9 Char"/>
    <w:basedOn w:val="a0"/>
    <w:link w:val="9"/>
    <w:uiPriority w:val="9"/>
    <w:semiHidden/>
    <w:qFormat/>
    <w:rsid w:val="00BD74E4"/>
    <w:rPr>
      <w:rFonts w:eastAsiaTheme="majorEastAsia" w:cstheme="majorBidi"/>
      <w:color w:val="595959" w:themeColor="text1" w:themeTint="A6"/>
    </w:rPr>
  </w:style>
  <w:style w:type="paragraph" w:styleId="a5">
    <w:name w:val="annotation text"/>
    <w:basedOn w:val="a"/>
    <w:link w:val="Char1"/>
    <w:uiPriority w:val="99"/>
    <w:unhideWhenUsed/>
    <w:qFormat/>
    <w:rsid w:val="00BD74E4"/>
    <w:pPr>
      <w:jc w:val="left"/>
    </w:pPr>
    <w:rPr>
      <w:rFonts w:ascii="Times New Roman" w:eastAsia="宋体" w:hAnsi="Times New Roman" w:cs="Times New Roman"/>
      <w:szCs w:val="20"/>
    </w:rPr>
  </w:style>
  <w:style w:type="character" w:customStyle="1" w:styleId="Char1">
    <w:name w:val="批注文字 Char"/>
    <w:basedOn w:val="a0"/>
    <w:link w:val="a5"/>
    <w:uiPriority w:val="99"/>
    <w:qFormat/>
    <w:rsid w:val="00BD74E4"/>
    <w:rPr>
      <w:rFonts w:ascii="Times New Roman" w:eastAsia="宋体" w:hAnsi="Times New Roman" w:cs="Times New Roman"/>
      <w:szCs w:val="20"/>
    </w:rPr>
  </w:style>
  <w:style w:type="paragraph" w:styleId="a6">
    <w:name w:val="Body Text"/>
    <w:basedOn w:val="a"/>
    <w:next w:val="20"/>
    <w:link w:val="Char2"/>
    <w:unhideWhenUsed/>
    <w:qFormat/>
    <w:rsid w:val="00BD74E4"/>
    <w:pPr>
      <w:spacing w:after="120"/>
    </w:pPr>
    <w:rPr>
      <w:rFonts w:ascii="Times New Roman" w:eastAsia="宋体" w:hAnsi="Times New Roman" w:cs="Times New Roman"/>
      <w:szCs w:val="20"/>
    </w:rPr>
  </w:style>
  <w:style w:type="character" w:customStyle="1" w:styleId="Char2">
    <w:name w:val="正文文本 Char"/>
    <w:basedOn w:val="a0"/>
    <w:link w:val="a6"/>
    <w:qFormat/>
    <w:rsid w:val="00BD74E4"/>
    <w:rPr>
      <w:rFonts w:ascii="Times New Roman" w:eastAsia="宋体" w:hAnsi="Times New Roman" w:cs="Times New Roman"/>
      <w:szCs w:val="20"/>
    </w:rPr>
  </w:style>
  <w:style w:type="paragraph" w:styleId="20">
    <w:name w:val="toc 2"/>
    <w:basedOn w:val="a"/>
    <w:next w:val="a"/>
    <w:uiPriority w:val="39"/>
    <w:qFormat/>
    <w:rsid w:val="00BD74E4"/>
    <w:pPr>
      <w:ind w:left="210"/>
      <w:jc w:val="left"/>
    </w:pPr>
    <w:rPr>
      <w:rFonts w:ascii="@黑体" w:eastAsia="宋体" w:hAnsi="@黑体" w:cs="@黑体"/>
      <w:smallCaps/>
      <w:sz w:val="20"/>
      <w:szCs w:val="20"/>
    </w:rPr>
  </w:style>
  <w:style w:type="paragraph" w:styleId="a7">
    <w:name w:val="Body Text Indent"/>
    <w:basedOn w:val="a"/>
    <w:link w:val="Char3"/>
    <w:qFormat/>
    <w:rsid w:val="00BD74E4"/>
    <w:pPr>
      <w:tabs>
        <w:tab w:val="left" w:pos="480"/>
      </w:tabs>
      <w:spacing w:line="560" w:lineRule="exact"/>
      <w:ind w:firstLine="480"/>
      <w:jc w:val="left"/>
    </w:pPr>
    <w:rPr>
      <w:rFonts w:ascii="宋体" w:eastAsia="宋体" w:hAnsi="宋体" w:cs="Times New Roman"/>
      <w:sz w:val="24"/>
      <w:szCs w:val="20"/>
    </w:rPr>
  </w:style>
  <w:style w:type="character" w:customStyle="1" w:styleId="Char3">
    <w:name w:val="正文文本缩进 Char"/>
    <w:basedOn w:val="a0"/>
    <w:link w:val="a7"/>
    <w:qFormat/>
    <w:rsid w:val="00BD74E4"/>
    <w:rPr>
      <w:rFonts w:ascii="宋体" w:eastAsia="宋体" w:hAnsi="宋体" w:cs="Times New Roman"/>
      <w:sz w:val="24"/>
      <w:szCs w:val="20"/>
    </w:rPr>
  </w:style>
  <w:style w:type="paragraph" w:styleId="a8">
    <w:name w:val="Plain Text"/>
    <w:basedOn w:val="a"/>
    <w:link w:val="Char10"/>
    <w:qFormat/>
    <w:rsid w:val="00BD74E4"/>
    <w:rPr>
      <w:rFonts w:ascii="宋体" w:eastAsia="宋体" w:hAnsi="Courier New" w:cs="Times New Roman"/>
      <w:szCs w:val="20"/>
      <w:lang w:val="zh-CN"/>
    </w:rPr>
  </w:style>
  <w:style w:type="character" w:customStyle="1" w:styleId="Char4">
    <w:name w:val="纯文本 Char"/>
    <w:basedOn w:val="a0"/>
    <w:uiPriority w:val="99"/>
    <w:semiHidden/>
    <w:qFormat/>
    <w:rsid w:val="00BD74E4"/>
    <w:rPr>
      <w:rFonts w:ascii="宋体" w:eastAsia="宋体" w:hAnsi="Courier New" w:cs="Courier New"/>
      <w:szCs w:val="21"/>
    </w:rPr>
  </w:style>
  <w:style w:type="character" w:customStyle="1" w:styleId="Char10">
    <w:name w:val="纯文本 Char1"/>
    <w:link w:val="a8"/>
    <w:qFormat/>
    <w:locked/>
    <w:rsid w:val="00BD74E4"/>
    <w:rPr>
      <w:rFonts w:ascii="宋体" w:eastAsia="宋体" w:hAnsi="Courier New" w:cs="Times New Roman"/>
      <w:szCs w:val="20"/>
      <w:lang w:val="zh-CN"/>
    </w:rPr>
  </w:style>
  <w:style w:type="paragraph" w:styleId="a9">
    <w:name w:val="Date"/>
    <w:basedOn w:val="a"/>
    <w:next w:val="a"/>
    <w:link w:val="Char5"/>
    <w:qFormat/>
    <w:rsid w:val="00BD74E4"/>
    <w:pPr>
      <w:adjustRightInd w:val="0"/>
      <w:spacing w:line="360" w:lineRule="atLeast"/>
      <w:textAlignment w:val="baseline"/>
    </w:pPr>
    <w:rPr>
      <w:rFonts w:ascii="Times New Roman" w:eastAsia="宋体" w:hAnsi="Times New Roman" w:cs="Times New Roman"/>
      <w:sz w:val="32"/>
      <w:szCs w:val="20"/>
    </w:rPr>
  </w:style>
  <w:style w:type="character" w:customStyle="1" w:styleId="Char5">
    <w:name w:val="日期 Char"/>
    <w:basedOn w:val="a0"/>
    <w:link w:val="a9"/>
    <w:qFormat/>
    <w:rsid w:val="00BD74E4"/>
    <w:rPr>
      <w:rFonts w:ascii="Times New Roman" w:eastAsia="宋体" w:hAnsi="Times New Roman" w:cs="Times New Roman"/>
      <w:sz w:val="32"/>
      <w:szCs w:val="20"/>
    </w:rPr>
  </w:style>
  <w:style w:type="paragraph" w:styleId="21">
    <w:name w:val="Body Text Indent 2"/>
    <w:basedOn w:val="a"/>
    <w:link w:val="2Char0"/>
    <w:uiPriority w:val="99"/>
    <w:semiHidden/>
    <w:unhideWhenUsed/>
    <w:qFormat/>
    <w:rsid w:val="00BD74E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0"/>
    <w:link w:val="21"/>
    <w:uiPriority w:val="99"/>
    <w:semiHidden/>
    <w:qFormat/>
    <w:rsid w:val="00BD74E4"/>
    <w:rPr>
      <w:rFonts w:ascii="Times New Roman" w:eastAsia="宋体" w:hAnsi="Times New Roman" w:cs="Times New Roman"/>
      <w:szCs w:val="20"/>
    </w:rPr>
  </w:style>
  <w:style w:type="paragraph" w:styleId="aa">
    <w:name w:val="Balloon Text"/>
    <w:basedOn w:val="a"/>
    <w:link w:val="Char6"/>
    <w:uiPriority w:val="99"/>
    <w:semiHidden/>
    <w:unhideWhenUsed/>
    <w:qFormat/>
    <w:rsid w:val="00BD74E4"/>
    <w:rPr>
      <w:rFonts w:ascii="Times New Roman" w:eastAsia="宋体" w:hAnsi="Times New Roman" w:cs="Times New Roman"/>
      <w:sz w:val="18"/>
      <w:szCs w:val="18"/>
    </w:rPr>
  </w:style>
  <w:style w:type="character" w:customStyle="1" w:styleId="Char6">
    <w:name w:val="批注框文本 Char"/>
    <w:basedOn w:val="a0"/>
    <w:link w:val="aa"/>
    <w:uiPriority w:val="99"/>
    <w:semiHidden/>
    <w:qFormat/>
    <w:rsid w:val="00BD74E4"/>
    <w:rPr>
      <w:rFonts w:ascii="Times New Roman" w:eastAsia="宋体" w:hAnsi="Times New Roman" w:cs="Times New Roman"/>
      <w:sz w:val="18"/>
      <w:szCs w:val="18"/>
    </w:rPr>
  </w:style>
  <w:style w:type="paragraph" w:styleId="ab">
    <w:name w:val="Subtitle"/>
    <w:basedOn w:val="a"/>
    <w:next w:val="a"/>
    <w:link w:val="Char7"/>
    <w:uiPriority w:val="11"/>
    <w:qFormat/>
    <w:rsid w:val="00BD74E4"/>
    <w:pPr>
      <w:spacing w:before="240" w:after="60" w:line="312" w:lineRule="auto"/>
      <w:jc w:val="center"/>
      <w:outlineLvl w:val="1"/>
    </w:pPr>
    <w:rPr>
      <w:rFonts w:ascii="Cambria" w:eastAsia="宋体" w:hAnsi="Cambria" w:cs="Times New Roman"/>
      <w:b/>
      <w:bCs/>
      <w:kern w:val="28"/>
      <w:sz w:val="32"/>
      <w:szCs w:val="32"/>
      <w:lang w:val="zh-CN"/>
    </w:rPr>
  </w:style>
  <w:style w:type="character" w:customStyle="1" w:styleId="Char7">
    <w:name w:val="副标题 Char"/>
    <w:basedOn w:val="a0"/>
    <w:link w:val="ab"/>
    <w:uiPriority w:val="11"/>
    <w:qFormat/>
    <w:rsid w:val="00BD74E4"/>
    <w:rPr>
      <w:rFonts w:ascii="Cambria" w:eastAsia="宋体" w:hAnsi="Cambria" w:cs="Times New Roman"/>
      <w:b/>
      <w:bCs/>
      <w:kern w:val="28"/>
      <w:sz w:val="32"/>
      <w:szCs w:val="32"/>
      <w:lang w:val="zh-CN"/>
    </w:rPr>
  </w:style>
  <w:style w:type="paragraph" w:styleId="30">
    <w:name w:val="Body Text Indent 3"/>
    <w:basedOn w:val="a"/>
    <w:link w:val="3Char0"/>
    <w:uiPriority w:val="99"/>
    <w:semiHidden/>
    <w:unhideWhenUsed/>
    <w:qFormat/>
    <w:rsid w:val="00BD74E4"/>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0"/>
    <w:link w:val="30"/>
    <w:uiPriority w:val="99"/>
    <w:semiHidden/>
    <w:qFormat/>
    <w:rsid w:val="00BD74E4"/>
    <w:rPr>
      <w:rFonts w:ascii="Times New Roman" w:eastAsia="宋体" w:hAnsi="Times New Roman" w:cs="Times New Roman"/>
      <w:sz w:val="16"/>
      <w:szCs w:val="16"/>
    </w:rPr>
  </w:style>
  <w:style w:type="paragraph" w:styleId="22">
    <w:name w:val="Body Text 2"/>
    <w:basedOn w:val="a"/>
    <w:link w:val="2Char1"/>
    <w:uiPriority w:val="99"/>
    <w:semiHidden/>
    <w:unhideWhenUsed/>
    <w:qFormat/>
    <w:rsid w:val="00BD74E4"/>
    <w:pPr>
      <w:spacing w:after="120" w:line="480" w:lineRule="auto"/>
    </w:pPr>
    <w:rPr>
      <w:rFonts w:ascii="Times New Roman" w:eastAsia="宋体" w:hAnsi="Times New Roman" w:cs="Times New Roman"/>
      <w:szCs w:val="20"/>
    </w:rPr>
  </w:style>
  <w:style w:type="character" w:customStyle="1" w:styleId="2Char1">
    <w:name w:val="正文文本 2 Char"/>
    <w:basedOn w:val="a0"/>
    <w:link w:val="22"/>
    <w:uiPriority w:val="99"/>
    <w:semiHidden/>
    <w:qFormat/>
    <w:rsid w:val="00BD74E4"/>
    <w:rPr>
      <w:rFonts w:ascii="Times New Roman" w:eastAsia="宋体" w:hAnsi="Times New Roman" w:cs="Times New Roman"/>
      <w:szCs w:val="20"/>
    </w:rPr>
  </w:style>
  <w:style w:type="paragraph" w:styleId="ac">
    <w:name w:val="Normal (Web)"/>
    <w:basedOn w:val="a"/>
    <w:uiPriority w:val="99"/>
    <w:qFormat/>
    <w:rsid w:val="00BD74E4"/>
    <w:pPr>
      <w:widowControl/>
      <w:spacing w:before="100" w:beforeAutospacing="1" w:after="100" w:afterAutospacing="1"/>
      <w:jc w:val="left"/>
    </w:pPr>
    <w:rPr>
      <w:rFonts w:ascii="宋体" w:eastAsia="宋体" w:hAnsi="宋体" w:cs="宋体"/>
      <w:kern w:val="0"/>
      <w:sz w:val="24"/>
      <w:szCs w:val="24"/>
    </w:rPr>
  </w:style>
  <w:style w:type="paragraph" w:styleId="ad">
    <w:name w:val="Title"/>
    <w:basedOn w:val="a"/>
    <w:next w:val="a"/>
    <w:link w:val="Char8"/>
    <w:uiPriority w:val="10"/>
    <w:qFormat/>
    <w:rsid w:val="00BD74E4"/>
    <w:pPr>
      <w:spacing w:after="80"/>
      <w:contextualSpacing/>
      <w:jc w:val="center"/>
    </w:pPr>
    <w:rPr>
      <w:rFonts w:asciiTheme="majorHAnsi" w:eastAsiaTheme="majorEastAsia" w:hAnsiTheme="majorHAnsi" w:cstheme="majorBidi"/>
      <w:spacing w:val="-10"/>
      <w:kern w:val="28"/>
      <w:sz w:val="56"/>
      <w:szCs w:val="56"/>
    </w:rPr>
  </w:style>
  <w:style w:type="character" w:customStyle="1" w:styleId="Char8">
    <w:name w:val="标题 Char"/>
    <w:basedOn w:val="a0"/>
    <w:link w:val="ad"/>
    <w:uiPriority w:val="10"/>
    <w:qFormat/>
    <w:rsid w:val="00BD74E4"/>
    <w:rPr>
      <w:rFonts w:asciiTheme="majorHAnsi" w:eastAsiaTheme="majorEastAsia" w:hAnsiTheme="majorHAnsi" w:cstheme="majorBidi"/>
      <w:spacing w:val="-10"/>
      <w:kern w:val="28"/>
      <w:sz w:val="56"/>
      <w:szCs w:val="56"/>
    </w:rPr>
  </w:style>
  <w:style w:type="table" w:styleId="ae">
    <w:name w:val="Table Grid"/>
    <w:basedOn w:val="a1"/>
    <w:qFormat/>
    <w:rsid w:val="00BD74E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sid w:val="00BD74E4"/>
    <w:rPr>
      <w:b/>
      <w:bCs/>
    </w:rPr>
  </w:style>
  <w:style w:type="character" w:styleId="af0">
    <w:name w:val="Hyperlink"/>
    <w:basedOn w:val="a0"/>
    <w:uiPriority w:val="99"/>
    <w:unhideWhenUsed/>
    <w:qFormat/>
    <w:rsid w:val="00BD74E4"/>
    <w:rPr>
      <w:color w:val="0000FF" w:themeColor="hyperlink"/>
      <w:u w:val="single"/>
    </w:rPr>
  </w:style>
  <w:style w:type="character" w:styleId="af1">
    <w:name w:val="annotation reference"/>
    <w:basedOn w:val="a0"/>
    <w:uiPriority w:val="99"/>
    <w:unhideWhenUsed/>
    <w:qFormat/>
    <w:rsid w:val="00BD74E4"/>
    <w:rPr>
      <w:sz w:val="21"/>
      <w:szCs w:val="21"/>
    </w:rPr>
  </w:style>
  <w:style w:type="paragraph" w:customStyle="1" w:styleId="Default">
    <w:name w:val="Default"/>
    <w:link w:val="DefaultChar"/>
    <w:qFormat/>
    <w:rsid w:val="00BD74E4"/>
    <w:pPr>
      <w:widowControl w:val="0"/>
      <w:autoSpaceDE w:val="0"/>
      <w:autoSpaceDN w:val="0"/>
      <w:adjustRightInd w:val="0"/>
    </w:pPr>
    <w:rPr>
      <w:rFonts w:ascii="......." w:eastAsia="......." w:hAnsi="Calibri" w:cs="......."/>
      <w:color w:val="000000"/>
      <w:kern w:val="0"/>
      <w:sz w:val="24"/>
      <w:szCs w:val="24"/>
    </w:rPr>
  </w:style>
  <w:style w:type="character" w:customStyle="1" w:styleId="DefaultChar">
    <w:name w:val="Default Char"/>
    <w:link w:val="Default"/>
    <w:qFormat/>
    <w:locked/>
    <w:rsid w:val="00BD74E4"/>
    <w:rPr>
      <w:rFonts w:ascii="......." w:eastAsia="......." w:hAnsi="Calibri" w:cs="......."/>
      <w:color w:val="000000"/>
      <w:kern w:val="0"/>
      <w:sz w:val="24"/>
      <w:szCs w:val="24"/>
    </w:rPr>
  </w:style>
  <w:style w:type="paragraph" w:styleId="af2">
    <w:name w:val="List Paragraph"/>
    <w:basedOn w:val="a"/>
    <w:link w:val="Char9"/>
    <w:uiPriority w:val="34"/>
    <w:qFormat/>
    <w:rsid w:val="00BD74E4"/>
    <w:pPr>
      <w:ind w:firstLineChars="200" w:firstLine="420"/>
    </w:pPr>
    <w:rPr>
      <w:rFonts w:ascii="Times New Roman" w:eastAsia="宋体" w:hAnsi="Times New Roman" w:cs="Times New Roman"/>
      <w:szCs w:val="20"/>
    </w:rPr>
  </w:style>
  <w:style w:type="character" w:customStyle="1" w:styleId="Char9">
    <w:name w:val="列出段落 Char"/>
    <w:link w:val="af2"/>
    <w:uiPriority w:val="34"/>
    <w:qFormat/>
    <w:rsid w:val="00BD74E4"/>
    <w:rPr>
      <w:rFonts w:ascii="Times New Roman" w:eastAsia="宋体" w:hAnsi="Times New Roman" w:cs="Times New Roman"/>
      <w:szCs w:val="20"/>
    </w:rPr>
  </w:style>
  <w:style w:type="paragraph" w:customStyle="1" w:styleId="Chara">
    <w:name w:val="Char"/>
    <w:basedOn w:val="a"/>
    <w:qFormat/>
    <w:rsid w:val="00BD74E4"/>
    <w:pPr>
      <w:tabs>
        <w:tab w:val="left" w:pos="360"/>
      </w:tabs>
    </w:pPr>
    <w:rPr>
      <w:rFonts w:ascii="Times New Roman" w:eastAsia="宋体" w:hAnsi="Times New Roman" w:cs="Times New Roman"/>
      <w:sz w:val="24"/>
      <w:szCs w:val="24"/>
    </w:rPr>
  </w:style>
  <w:style w:type="paragraph" w:customStyle="1" w:styleId="13">
    <w:name w:val="正文_13"/>
    <w:qFormat/>
    <w:rsid w:val="00BD74E4"/>
    <w:pPr>
      <w:widowControl w:val="0"/>
      <w:jc w:val="both"/>
    </w:pPr>
    <w:rPr>
      <w:rFonts w:ascii="Times New Roman" w:eastAsia="宋体" w:hAnsi="Times New Roman" w:cs="Times New Roman"/>
      <w:szCs w:val="24"/>
    </w:rPr>
  </w:style>
  <w:style w:type="paragraph" w:customStyle="1" w:styleId="60">
    <w:name w:val="正文_6"/>
    <w:qFormat/>
    <w:rsid w:val="00BD74E4"/>
    <w:pPr>
      <w:widowControl w:val="0"/>
      <w:jc w:val="both"/>
    </w:pPr>
    <w:rPr>
      <w:rFonts w:ascii="Times New Roman" w:eastAsia="宋体" w:hAnsi="Times New Roman" w:cs="Times New Roman"/>
      <w:szCs w:val="24"/>
    </w:rPr>
  </w:style>
  <w:style w:type="paragraph" w:customStyle="1" w:styleId="70">
    <w:name w:val="正文_7"/>
    <w:qFormat/>
    <w:rsid w:val="00BD74E4"/>
    <w:pPr>
      <w:widowControl w:val="0"/>
      <w:jc w:val="both"/>
    </w:pPr>
    <w:rPr>
      <w:rFonts w:ascii="Times New Roman" w:eastAsia="宋体" w:hAnsi="Times New Roman" w:cs="Times New Roman"/>
      <w:szCs w:val="24"/>
    </w:rPr>
  </w:style>
  <w:style w:type="paragraph" w:customStyle="1" w:styleId="11">
    <w:name w:val="正文_11"/>
    <w:qFormat/>
    <w:rsid w:val="00BD74E4"/>
    <w:pPr>
      <w:widowControl w:val="0"/>
      <w:jc w:val="both"/>
    </w:pPr>
    <w:rPr>
      <w:rFonts w:ascii="Times New Roman" w:eastAsia="宋体" w:hAnsi="Times New Roman" w:cs="Times New Roman"/>
      <w:szCs w:val="24"/>
    </w:rPr>
  </w:style>
  <w:style w:type="paragraph" w:customStyle="1" w:styleId="10">
    <w:name w:val="列出段落1"/>
    <w:basedOn w:val="a"/>
    <w:qFormat/>
    <w:rsid w:val="00BD74E4"/>
    <w:pPr>
      <w:ind w:firstLineChars="200" w:firstLine="420"/>
    </w:pPr>
    <w:rPr>
      <w:rFonts w:ascii="Calibri" w:eastAsia="宋体" w:hAnsi="Calibri" w:cs="黑体"/>
    </w:rPr>
  </w:style>
  <w:style w:type="paragraph" w:customStyle="1" w:styleId="AONormal">
    <w:name w:val="AONormal"/>
    <w:qFormat/>
    <w:rsid w:val="00BD74E4"/>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3">
    <w:name w:val="Quote"/>
    <w:basedOn w:val="a"/>
    <w:next w:val="a"/>
    <w:link w:val="Charb"/>
    <w:uiPriority w:val="29"/>
    <w:qFormat/>
    <w:rsid w:val="00BD74E4"/>
    <w:pPr>
      <w:spacing w:before="160" w:after="160"/>
      <w:jc w:val="center"/>
    </w:pPr>
    <w:rPr>
      <w:i/>
      <w:iCs/>
      <w:color w:val="404040" w:themeColor="text1" w:themeTint="BF"/>
    </w:rPr>
  </w:style>
  <w:style w:type="character" w:customStyle="1" w:styleId="Charb">
    <w:name w:val="引用 Char"/>
    <w:basedOn w:val="a0"/>
    <w:link w:val="af3"/>
    <w:uiPriority w:val="29"/>
    <w:qFormat/>
    <w:rsid w:val="00BD74E4"/>
    <w:rPr>
      <w:i/>
      <w:iCs/>
      <w:color w:val="404040" w:themeColor="text1" w:themeTint="BF"/>
    </w:rPr>
  </w:style>
  <w:style w:type="character" w:customStyle="1" w:styleId="12">
    <w:name w:val="明显强调1"/>
    <w:basedOn w:val="a0"/>
    <w:uiPriority w:val="21"/>
    <w:qFormat/>
    <w:rsid w:val="00BD74E4"/>
    <w:rPr>
      <w:i/>
      <w:iCs/>
      <w:color w:val="365F91" w:themeColor="accent1" w:themeShade="BF"/>
    </w:rPr>
  </w:style>
  <w:style w:type="paragraph" w:styleId="af4">
    <w:name w:val="Intense Quote"/>
    <w:basedOn w:val="a"/>
    <w:next w:val="a"/>
    <w:link w:val="Charc"/>
    <w:uiPriority w:val="30"/>
    <w:qFormat/>
    <w:rsid w:val="00BD74E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c">
    <w:name w:val="明显引用 Char"/>
    <w:basedOn w:val="a0"/>
    <w:link w:val="af4"/>
    <w:uiPriority w:val="30"/>
    <w:qFormat/>
    <w:rsid w:val="00BD74E4"/>
    <w:rPr>
      <w:i/>
      <w:iCs/>
      <w:color w:val="365F91" w:themeColor="accent1" w:themeShade="BF"/>
    </w:rPr>
  </w:style>
  <w:style w:type="character" w:customStyle="1" w:styleId="14">
    <w:name w:val="明显参考1"/>
    <w:basedOn w:val="a0"/>
    <w:uiPriority w:val="32"/>
    <w:qFormat/>
    <w:rsid w:val="00BD74E4"/>
    <w:rPr>
      <w:b/>
      <w:bCs/>
      <w:smallCaps/>
      <w:color w:val="365F91" w:themeColor="accent1" w:themeShade="BF"/>
      <w:spacing w:val="5"/>
    </w:rPr>
  </w:style>
  <w:style w:type="character" w:customStyle="1" w:styleId="font31">
    <w:name w:val="font31"/>
    <w:basedOn w:val="a0"/>
    <w:qFormat/>
    <w:rsid w:val="00BD74E4"/>
    <w:rPr>
      <w:rFonts w:ascii="宋体" w:eastAsia="宋体" w:hAnsi="宋体" w:cs="宋体" w:hint="eastAsia"/>
      <w:b/>
      <w:bCs/>
      <w:color w:val="000000"/>
      <w:sz w:val="20"/>
      <w:szCs w:val="20"/>
      <w:u w:val="none"/>
    </w:rPr>
  </w:style>
  <w:style w:type="character" w:customStyle="1" w:styleId="font11">
    <w:name w:val="font11"/>
    <w:basedOn w:val="a0"/>
    <w:qFormat/>
    <w:rsid w:val="00BD74E4"/>
    <w:rPr>
      <w:rFonts w:ascii="宋体" w:eastAsia="宋体" w:hAnsi="宋体" w:cs="宋体" w:hint="eastAsia"/>
      <w:color w:val="000000"/>
      <w:sz w:val="20"/>
      <w:szCs w:val="20"/>
      <w:u w:val="none"/>
    </w:rPr>
  </w:style>
  <w:style w:type="character" w:customStyle="1" w:styleId="font61">
    <w:name w:val="font61"/>
    <w:basedOn w:val="a0"/>
    <w:qFormat/>
    <w:rsid w:val="00BD74E4"/>
    <w:rPr>
      <w:rFonts w:ascii="宋体" w:eastAsia="宋体" w:hAnsi="宋体" w:cs="宋体" w:hint="eastAsia"/>
      <w:b/>
      <w:bCs/>
      <w:color w:val="000000"/>
      <w:sz w:val="20"/>
      <w:szCs w:val="20"/>
      <w:u w:val="none"/>
    </w:rPr>
  </w:style>
  <w:style w:type="character" w:customStyle="1" w:styleId="font21">
    <w:name w:val="font21"/>
    <w:basedOn w:val="a0"/>
    <w:qFormat/>
    <w:rsid w:val="00BD74E4"/>
    <w:rPr>
      <w:rFonts w:ascii="宋体" w:eastAsia="宋体" w:hAnsi="宋体" w:cs="宋体" w:hint="eastAsia"/>
      <w:b/>
      <w:bCs/>
      <w:color w:val="000000"/>
      <w:sz w:val="20"/>
      <w:szCs w:val="20"/>
      <w:u w:val="none"/>
    </w:rPr>
  </w:style>
  <w:style w:type="paragraph" w:styleId="af5">
    <w:name w:val="annotation subject"/>
    <w:basedOn w:val="a5"/>
    <w:next w:val="a5"/>
    <w:link w:val="Chard"/>
    <w:uiPriority w:val="99"/>
    <w:semiHidden/>
    <w:unhideWhenUsed/>
    <w:rsid w:val="00BD74E4"/>
    <w:rPr>
      <w:b/>
      <w:bCs/>
    </w:rPr>
  </w:style>
  <w:style w:type="character" w:customStyle="1" w:styleId="Chard">
    <w:name w:val="批注主题 Char"/>
    <w:basedOn w:val="Char1"/>
    <w:link w:val="af5"/>
    <w:uiPriority w:val="99"/>
    <w:semiHidden/>
    <w:rsid w:val="00BD74E4"/>
    <w:rPr>
      <w:rFonts w:ascii="Times New Roman" w:eastAsia="宋体" w:hAnsi="Times New Roman" w:cs="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58</Pages>
  <Words>5635</Words>
  <Characters>32121</Characters>
  <Application>Microsoft Office Word</Application>
  <DocSecurity>0</DocSecurity>
  <Lines>267</Lines>
  <Paragraphs>75</Paragraphs>
  <ScaleCrop>false</ScaleCrop>
  <Company>神州网信技术有限公司</Company>
  <LinksUpToDate>false</LinksUpToDate>
  <CharactersWithSpaces>37681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26</cp:revision>
  <dcterms:created xsi:type="dcterms:W3CDTF">2025-07-17T02:45:00Z</dcterms:created>
  <dcterms:modified xsi:type="dcterms:W3CDTF">2025-07-17T11:10:00Z</dcterms:modified>
</cp:coreProperties>
</file>